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BA0CC7" w14:paraId="428FFB48" w14:textId="77777777" w:rsidTr="00BA0CC7">
        <w:tc>
          <w:tcPr>
            <w:tcW w:w="3823" w:type="dxa"/>
          </w:tcPr>
          <w:p w14:paraId="73EF0177" w14:textId="77777777" w:rsidR="00BA0CC7" w:rsidRPr="00470CE7" w:rsidRDefault="00BA0CC7" w:rsidP="00BA0CC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21" w:type="dxa"/>
          </w:tcPr>
          <w:p w14:paraId="33183402" w14:textId="30EC1799" w:rsidR="00BA0CC7" w:rsidRPr="00663343" w:rsidRDefault="00BA0CC7" w:rsidP="00BA0CC7">
            <w:pPr>
              <w:rPr>
                <w:b/>
                <w:bCs/>
                <w:iCs/>
                <w:sz w:val="16"/>
                <w:szCs w:val="16"/>
              </w:rPr>
            </w:pPr>
            <w:r w:rsidRPr="00663343">
              <w:rPr>
                <w:b/>
                <w:bCs/>
                <w:iCs/>
                <w:sz w:val="16"/>
                <w:szCs w:val="16"/>
              </w:rPr>
              <w:t xml:space="preserve">Załącznik nr 1.  </w:t>
            </w:r>
            <w:r w:rsidR="00663343" w:rsidRPr="00663343">
              <w:rPr>
                <w:b/>
                <w:bCs/>
                <w:iCs/>
                <w:sz w:val="16"/>
                <w:szCs w:val="16"/>
              </w:rPr>
              <w:t xml:space="preserve">do ogłoszenia o przetargu na dzierżawę gruntów Skarbu Państwa znajdujących się w użytkowaniu wieczystym Bieszczadzkiego Parku Narodowego z dnia 20.05.2020 r. </w:t>
            </w:r>
            <w:r w:rsidR="00663343">
              <w:rPr>
                <w:b/>
                <w:bCs/>
                <w:iCs/>
                <w:sz w:val="16"/>
                <w:szCs w:val="16"/>
              </w:rPr>
              <w:br/>
            </w:r>
            <w:r w:rsidRPr="00663343">
              <w:rPr>
                <w:b/>
                <w:bCs/>
                <w:iCs/>
                <w:sz w:val="16"/>
                <w:szCs w:val="16"/>
              </w:rPr>
              <w:t>Szczegółowy sposób zagospodarowania gruntów będących przedmiotem przetargu</w:t>
            </w:r>
          </w:p>
        </w:tc>
      </w:tr>
    </w:tbl>
    <w:p w14:paraId="1BED5D21" w14:textId="37C312A8" w:rsidR="00802B84" w:rsidRDefault="0069580C" w:rsidP="00802B84">
      <w:pPr>
        <w:spacing w:before="480"/>
        <w:rPr>
          <w:b/>
          <w:caps/>
          <w:szCs w:val="20"/>
        </w:rPr>
      </w:pPr>
      <w:r w:rsidRPr="00802B84">
        <w:rPr>
          <w:b/>
          <w:caps/>
          <w:szCs w:val="20"/>
        </w:rPr>
        <w:t xml:space="preserve">SZCZEGÓŁOWY </w:t>
      </w:r>
      <w:r w:rsidR="00F30752" w:rsidRPr="00802B84">
        <w:rPr>
          <w:b/>
          <w:caps/>
          <w:szCs w:val="20"/>
        </w:rPr>
        <w:t>SPOSÓB ZAGOSPODAROWANIA</w:t>
      </w:r>
      <w:r w:rsidR="00802B84">
        <w:rPr>
          <w:b/>
          <w:caps/>
          <w:szCs w:val="20"/>
        </w:rPr>
        <w:t xml:space="preserve"> </w:t>
      </w:r>
      <w:r w:rsidR="00BD7712">
        <w:rPr>
          <w:b/>
          <w:caps/>
          <w:szCs w:val="20"/>
        </w:rPr>
        <w:t>GRUNTÓW BĘDĄCYCH PRZEDMIOTEM PRZETARGU</w:t>
      </w:r>
      <w:r w:rsidR="00802B84">
        <w:rPr>
          <w:b/>
          <w:caps/>
          <w:szCs w:val="20"/>
        </w:rPr>
        <w:t xml:space="preserve"> </w:t>
      </w:r>
      <w:bookmarkStart w:id="0" w:name="_Hlk511956260"/>
    </w:p>
    <w:p w14:paraId="4C924425" w14:textId="06DB08CD" w:rsidR="00D71168" w:rsidRPr="00802B84" w:rsidRDefault="00D71168" w:rsidP="00802B84">
      <w:pPr>
        <w:pStyle w:val="Akapitzlist"/>
        <w:numPr>
          <w:ilvl w:val="0"/>
          <w:numId w:val="21"/>
        </w:numPr>
        <w:spacing w:before="0"/>
        <w:contextualSpacing w:val="0"/>
        <w:jc w:val="both"/>
        <w:rPr>
          <w:szCs w:val="20"/>
        </w:rPr>
      </w:pPr>
      <w:r w:rsidRPr="00802B84">
        <w:rPr>
          <w:szCs w:val="20"/>
        </w:rPr>
        <w:t xml:space="preserve">Grunty będące przedmiotem przetargu przeznaczone są do ochrony czynnej </w:t>
      </w:r>
      <w:r w:rsidR="00E56BB1" w:rsidRPr="00802B84">
        <w:rPr>
          <w:szCs w:val="20"/>
        </w:rPr>
        <w:t>ekosystemów połoninowych</w:t>
      </w:r>
      <w:r w:rsidR="00330322" w:rsidRPr="00802B84">
        <w:rPr>
          <w:szCs w:val="20"/>
        </w:rPr>
        <w:t>,</w:t>
      </w:r>
      <w:r w:rsidRPr="00802B84">
        <w:rPr>
          <w:szCs w:val="20"/>
        </w:rPr>
        <w:t xml:space="preserve"> poprzez prowadzenie </w:t>
      </w:r>
      <w:r w:rsidR="00E56BB1" w:rsidRPr="00802B84">
        <w:rPr>
          <w:szCs w:val="20"/>
        </w:rPr>
        <w:t>zabiegu ochronnego polegającego</w:t>
      </w:r>
      <w:r w:rsidRPr="00802B84">
        <w:rPr>
          <w:szCs w:val="20"/>
        </w:rPr>
        <w:t xml:space="preserve"> na ekstensywnym wypasie</w:t>
      </w:r>
      <w:r w:rsidR="006E4EAD" w:rsidRPr="00802B84">
        <w:rPr>
          <w:szCs w:val="20"/>
        </w:rPr>
        <w:t xml:space="preserve"> zwierząt</w:t>
      </w:r>
      <w:r w:rsidRPr="00802B84">
        <w:rPr>
          <w:szCs w:val="20"/>
        </w:rPr>
        <w:t>.</w:t>
      </w:r>
    </w:p>
    <w:p w14:paraId="224D2CFD" w14:textId="6A60D6D7" w:rsidR="00D71168" w:rsidRPr="00D71168" w:rsidRDefault="00D71168" w:rsidP="00802B84">
      <w:pPr>
        <w:pStyle w:val="Akapitzlist"/>
        <w:numPr>
          <w:ilvl w:val="0"/>
          <w:numId w:val="21"/>
        </w:numPr>
        <w:spacing w:before="0"/>
        <w:contextualSpacing w:val="0"/>
        <w:jc w:val="both"/>
        <w:rPr>
          <w:szCs w:val="20"/>
        </w:rPr>
      </w:pPr>
      <w:r w:rsidRPr="00D71168">
        <w:rPr>
          <w:szCs w:val="20"/>
        </w:rPr>
        <w:t>Powierzchnia przeznaczona do wypasu</w:t>
      </w:r>
      <w:r w:rsidR="00E56BB1">
        <w:rPr>
          <w:szCs w:val="20"/>
        </w:rPr>
        <w:t xml:space="preserve"> wynosi </w:t>
      </w:r>
      <w:r w:rsidR="00E56BB1" w:rsidRPr="00802B84">
        <w:rPr>
          <w:b/>
          <w:bCs/>
          <w:szCs w:val="20"/>
        </w:rPr>
        <w:t>8,00 ha</w:t>
      </w:r>
      <w:r w:rsidR="00E56BB1">
        <w:rPr>
          <w:szCs w:val="20"/>
        </w:rPr>
        <w:t>.</w:t>
      </w:r>
    </w:p>
    <w:p w14:paraId="02AF2C87" w14:textId="18FE1D95" w:rsidR="00D71168" w:rsidRPr="00D71168" w:rsidRDefault="00D71168" w:rsidP="00802B84">
      <w:pPr>
        <w:pStyle w:val="Akapitzlist"/>
        <w:numPr>
          <w:ilvl w:val="0"/>
          <w:numId w:val="21"/>
        </w:numPr>
        <w:spacing w:before="0"/>
        <w:contextualSpacing w:val="0"/>
        <w:jc w:val="both"/>
        <w:rPr>
          <w:szCs w:val="20"/>
        </w:rPr>
      </w:pPr>
      <w:r w:rsidRPr="00D71168">
        <w:rPr>
          <w:szCs w:val="20"/>
        </w:rPr>
        <w:t xml:space="preserve">Terminy wypasu –w okresie </w:t>
      </w:r>
      <w:r w:rsidRPr="00802B84">
        <w:rPr>
          <w:b/>
          <w:bCs/>
          <w:szCs w:val="20"/>
        </w:rPr>
        <w:t xml:space="preserve">od </w:t>
      </w:r>
      <w:r w:rsidR="00802B84" w:rsidRPr="00802B84">
        <w:rPr>
          <w:b/>
          <w:bCs/>
          <w:szCs w:val="20"/>
        </w:rPr>
        <w:t>dnia podpisania umowy</w:t>
      </w:r>
      <w:r w:rsidRPr="00802B84">
        <w:rPr>
          <w:b/>
          <w:bCs/>
          <w:szCs w:val="20"/>
        </w:rPr>
        <w:t xml:space="preserve"> do </w:t>
      </w:r>
      <w:r w:rsidR="00802B84" w:rsidRPr="00802B84">
        <w:rPr>
          <w:b/>
          <w:bCs/>
          <w:szCs w:val="20"/>
        </w:rPr>
        <w:t>dnia 15 września</w:t>
      </w:r>
      <w:r w:rsidRPr="00D71168">
        <w:rPr>
          <w:szCs w:val="20"/>
        </w:rPr>
        <w:t>, przy czym:</w:t>
      </w:r>
    </w:p>
    <w:p w14:paraId="154BF90F" w14:textId="429AE04D" w:rsidR="00D71168" w:rsidRPr="00D71168" w:rsidRDefault="00D71168" w:rsidP="00802B84">
      <w:pPr>
        <w:pStyle w:val="Akapitzlist"/>
        <w:numPr>
          <w:ilvl w:val="0"/>
          <w:numId w:val="21"/>
        </w:numPr>
        <w:spacing w:before="0"/>
        <w:contextualSpacing w:val="0"/>
        <w:jc w:val="both"/>
        <w:rPr>
          <w:szCs w:val="20"/>
        </w:rPr>
      </w:pPr>
      <w:r w:rsidRPr="00D71168">
        <w:rPr>
          <w:szCs w:val="20"/>
        </w:rPr>
        <w:t xml:space="preserve">minimalny okres wypasu wynosi </w:t>
      </w:r>
      <w:r w:rsidRPr="00802B84">
        <w:rPr>
          <w:b/>
          <w:bCs/>
          <w:szCs w:val="20"/>
        </w:rPr>
        <w:t>2 miesiące</w:t>
      </w:r>
      <w:r w:rsidRPr="00D71168">
        <w:rPr>
          <w:szCs w:val="20"/>
        </w:rPr>
        <w:t>;</w:t>
      </w:r>
    </w:p>
    <w:p w14:paraId="3E2B3617" w14:textId="17F75170" w:rsidR="00D71168" w:rsidRPr="00D71168" w:rsidRDefault="00D71168" w:rsidP="00802B84">
      <w:pPr>
        <w:pStyle w:val="Akapitzlist"/>
        <w:numPr>
          <w:ilvl w:val="0"/>
          <w:numId w:val="21"/>
        </w:numPr>
        <w:spacing w:before="0"/>
        <w:contextualSpacing w:val="0"/>
        <w:jc w:val="both"/>
        <w:rPr>
          <w:szCs w:val="20"/>
        </w:rPr>
      </w:pPr>
      <w:r w:rsidRPr="00D71168">
        <w:rPr>
          <w:szCs w:val="20"/>
        </w:rPr>
        <w:t xml:space="preserve">Wypas musi być prowadzony przy </w:t>
      </w:r>
      <w:r w:rsidR="0079158B">
        <w:rPr>
          <w:szCs w:val="20"/>
        </w:rPr>
        <w:t xml:space="preserve">łącznej </w:t>
      </w:r>
      <w:r w:rsidRPr="00D71168">
        <w:rPr>
          <w:szCs w:val="20"/>
        </w:rPr>
        <w:t xml:space="preserve">obsadzie pastwiska </w:t>
      </w:r>
      <w:r w:rsidRPr="00802B84">
        <w:rPr>
          <w:b/>
          <w:bCs/>
          <w:szCs w:val="20"/>
        </w:rPr>
        <w:t xml:space="preserve">od 0,5 do 1,0 DJP </w:t>
      </w:r>
      <w:r w:rsidR="001E73CD" w:rsidRPr="00802B84">
        <w:rPr>
          <w:b/>
          <w:bCs/>
          <w:szCs w:val="20"/>
        </w:rPr>
        <w:t>na 1 ha</w:t>
      </w:r>
      <w:r w:rsidR="001E73CD">
        <w:rPr>
          <w:szCs w:val="20"/>
        </w:rPr>
        <w:t xml:space="preserve"> </w:t>
      </w:r>
      <w:r w:rsidRPr="00D71168">
        <w:rPr>
          <w:szCs w:val="20"/>
        </w:rPr>
        <w:t>(umowna jednostka liczebności zwierząt hodowlanych odpowiadająca jednej krowie o masie 500 kg).</w:t>
      </w:r>
    </w:p>
    <w:p w14:paraId="1AC6F7D6" w14:textId="758C4138" w:rsidR="00D71168" w:rsidRPr="00D71168" w:rsidRDefault="00E56BB1" w:rsidP="00802B84">
      <w:pPr>
        <w:pStyle w:val="Akapitzlist"/>
        <w:numPr>
          <w:ilvl w:val="0"/>
          <w:numId w:val="21"/>
        </w:numPr>
        <w:spacing w:before="0"/>
        <w:contextualSpacing w:val="0"/>
        <w:jc w:val="both"/>
        <w:rPr>
          <w:szCs w:val="20"/>
        </w:rPr>
      </w:pPr>
      <w:r>
        <w:rPr>
          <w:szCs w:val="20"/>
        </w:rPr>
        <w:t>Do wypasu dopuszcza się następujące gatunki</w:t>
      </w:r>
      <w:r w:rsidR="00D71168" w:rsidRPr="00D71168">
        <w:rPr>
          <w:szCs w:val="20"/>
        </w:rPr>
        <w:t xml:space="preserve"> zwierząt:</w:t>
      </w:r>
    </w:p>
    <w:p w14:paraId="5E1E7A4C" w14:textId="747F3B62" w:rsidR="00D71168" w:rsidRPr="00D71168" w:rsidRDefault="00D71168" w:rsidP="006D7230">
      <w:pPr>
        <w:numPr>
          <w:ilvl w:val="0"/>
          <w:numId w:val="22"/>
        </w:numPr>
        <w:spacing w:before="0"/>
        <w:ind w:left="1037" w:hanging="357"/>
        <w:jc w:val="both"/>
        <w:rPr>
          <w:szCs w:val="20"/>
        </w:rPr>
      </w:pPr>
      <w:r w:rsidRPr="00D71168">
        <w:rPr>
          <w:szCs w:val="20"/>
        </w:rPr>
        <w:t>owce</w:t>
      </w:r>
      <w:r w:rsidR="00330322">
        <w:rPr>
          <w:szCs w:val="20"/>
        </w:rPr>
        <w:t xml:space="preserve"> - </w:t>
      </w:r>
      <w:r w:rsidR="006E4EAD">
        <w:rPr>
          <w:szCs w:val="20"/>
        </w:rPr>
        <w:t xml:space="preserve">w ilości </w:t>
      </w:r>
      <w:r w:rsidRPr="00DC6D30">
        <w:rPr>
          <w:b/>
          <w:bCs/>
          <w:szCs w:val="20"/>
        </w:rPr>
        <w:t>5-10 szt./ha</w:t>
      </w:r>
      <w:r w:rsidRPr="00D71168">
        <w:rPr>
          <w:szCs w:val="20"/>
        </w:rPr>
        <w:t>;</w:t>
      </w:r>
    </w:p>
    <w:p w14:paraId="5246A03B" w14:textId="52C723D6" w:rsidR="00D71168" w:rsidRPr="00D71168" w:rsidRDefault="00D71168" w:rsidP="006D7230">
      <w:pPr>
        <w:numPr>
          <w:ilvl w:val="0"/>
          <w:numId w:val="22"/>
        </w:numPr>
        <w:spacing w:before="0"/>
        <w:ind w:left="1037" w:hanging="357"/>
        <w:jc w:val="both"/>
        <w:rPr>
          <w:szCs w:val="20"/>
        </w:rPr>
      </w:pPr>
      <w:r w:rsidRPr="00D71168">
        <w:rPr>
          <w:szCs w:val="20"/>
        </w:rPr>
        <w:t>kozy</w:t>
      </w:r>
      <w:r w:rsidR="00330322">
        <w:rPr>
          <w:szCs w:val="20"/>
        </w:rPr>
        <w:t xml:space="preserve"> -</w:t>
      </w:r>
      <w:r w:rsidRPr="00D71168">
        <w:rPr>
          <w:szCs w:val="20"/>
        </w:rPr>
        <w:t xml:space="preserve"> </w:t>
      </w:r>
      <w:r w:rsidR="006E4EAD">
        <w:rPr>
          <w:szCs w:val="20"/>
        </w:rPr>
        <w:t xml:space="preserve">w ilości </w:t>
      </w:r>
      <w:r w:rsidRPr="00DC6D30">
        <w:rPr>
          <w:b/>
          <w:bCs/>
          <w:szCs w:val="20"/>
        </w:rPr>
        <w:t>3-6 szt./ha</w:t>
      </w:r>
      <w:r w:rsidRPr="00D71168">
        <w:rPr>
          <w:szCs w:val="20"/>
        </w:rPr>
        <w:t>;</w:t>
      </w:r>
    </w:p>
    <w:p w14:paraId="7A7DE37A" w14:textId="4BFD62F4" w:rsidR="00D71168" w:rsidRDefault="00D71168" w:rsidP="006D7230">
      <w:pPr>
        <w:numPr>
          <w:ilvl w:val="0"/>
          <w:numId w:val="22"/>
        </w:numPr>
        <w:spacing w:before="0"/>
        <w:ind w:left="1037" w:hanging="357"/>
        <w:jc w:val="both"/>
        <w:rPr>
          <w:szCs w:val="20"/>
        </w:rPr>
      </w:pPr>
      <w:r w:rsidRPr="00D71168">
        <w:rPr>
          <w:szCs w:val="20"/>
        </w:rPr>
        <w:t>krowy</w:t>
      </w:r>
      <w:r w:rsidR="00330322">
        <w:rPr>
          <w:szCs w:val="20"/>
        </w:rPr>
        <w:t xml:space="preserve"> -</w:t>
      </w:r>
      <w:r w:rsidRPr="00D71168">
        <w:rPr>
          <w:szCs w:val="20"/>
        </w:rPr>
        <w:t xml:space="preserve"> </w:t>
      </w:r>
      <w:r w:rsidR="006E4EAD">
        <w:rPr>
          <w:szCs w:val="20"/>
        </w:rPr>
        <w:t xml:space="preserve">w ilości </w:t>
      </w:r>
      <w:r w:rsidRPr="00FE6C3A">
        <w:rPr>
          <w:b/>
          <w:bCs/>
          <w:szCs w:val="20"/>
        </w:rPr>
        <w:t>0,5-1,0 szt./1 ha</w:t>
      </w:r>
      <w:r w:rsidRPr="00D71168">
        <w:rPr>
          <w:szCs w:val="20"/>
        </w:rPr>
        <w:t>.</w:t>
      </w:r>
    </w:p>
    <w:p w14:paraId="05FBF036" w14:textId="67CD0133" w:rsidR="0079158B" w:rsidRPr="00FE6C3A" w:rsidRDefault="0079158B" w:rsidP="00FE6C3A">
      <w:pPr>
        <w:numPr>
          <w:ilvl w:val="0"/>
          <w:numId w:val="22"/>
        </w:numPr>
        <w:spacing w:before="0"/>
        <w:ind w:left="1037" w:hanging="357"/>
        <w:jc w:val="both"/>
        <w:rPr>
          <w:szCs w:val="20"/>
        </w:rPr>
      </w:pPr>
      <w:r w:rsidRPr="00FE6C3A">
        <w:rPr>
          <w:szCs w:val="20"/>
        </w:rPr>
        <w:t xml:space="preserve">dopuszcza się wypas stad mieszanych złożonych </w:t>
      </w:r>
      <w:r w:rsidR="00F602E7" w:rsidRPr="00FE6C3A">
        <w:rPr>
          <w:szCs w:val="20"/>
        </w:rPr>
        <w:t xml:space="preserve">z tych trzech gatunków jednak łączna obsada </w:t>
      </w:r>
      <w:r w:rsidR="00F602E7" w:rsidRPr="00802B84">
        <w:rPr>
          <w:b/>
          <w:bCs/>
          <w:szCs w:val="20"/>
        </w:rPr>
        <w:t>nie może przekraczać 1,0 DJP na 1 ha</w:t>
      </w:r>
      <w:r w:rsidR="00F602E7" w:rsidRPr="00FE6C3A">
        <w:rPr>
          <w:szCs w:val="20"/>
        </w:rPr>
        <w:t xml:space="preserve"> zgodnie ze </w:t>
      </w:r>
      <w:r w:rsidR="001D286A" w:rsidRPr="00FE6C3A">
        <w:rPr>
          <w:szCs w:val="20"/>
        </w:rPr>
        <w:t>współczynnikami</w:t>
      </w:r>
      <w:r w:rsidR="00F602E7" w:rsidRPr="00FE6C3A">
        <w:rPr>
          <w:szCs w:val="20"/>
        </w:rPr>
        <w:t xml:space="preserve"> przeliczeniowymi przyjętymi w</w:t>
      </w:r>
      <w:r w:rsidR="00802B84">
        <w:rPr>
          <w:szCs w:val="20"/>
        </w:rPr>
        <w:t> </w:t>
      </w:r>
      <w:r w:rsidR="00A808E9">
        <w:rPr>
          <w:szCs w:val="20"/>
        </w:rPr>
        <w:t>załączniku do</w:t>
      </w:r>
      <w:r w:rsidR="00F602E7" w:rsidRPr="00FE6C3A">
        <w:rPr>
          <w:szCs w:val="20"/>
        </w:rPr>
        <w:t xml:space="preserve"> Rozporządzeni</w:t>
      </w:r>
      <w:r w:rsidR="00A808E9">
        <w:rPr>
          <w:szCs w:val="20"/>
        </w:rPr>
        <w:t>a</w:t>
      </w:r>
      <w:r w:rsidR="00F602E7" w:rsidRPr="00FE6C3A">
        <w:rPr>
          <w:szCs w:val="20"/>
        </w:rPr>
        <w:t xml:space="preserve"> Rady Ministrów z dnia 10 września 2019 r. w sprawie przedsięwzięć mogących znacząco oddziaływać na środowisko (Dz.U. 2019 poz. 1839)</w:t>
      </w:r>
    </w:p>
    <w:p w14:paraId="1BAB63E4" w14:textId="3D0B20DA" w:rsidR="004F327C" w:rsidRPr="004F327C" w:rsidRDefault="004F327C" w:rsidP="00802B84">
      <w:pPr>
        <w:pStyle w:val="Akapitzlist"/>
        <w:numPr>
          <w:ilvl w:val="0"/>
          <w:numId w:val="21"/>
        </w:numPr>
        <w:spacing w:before="0"/>
        <w:contextualSpacing w:val="0"/>
        <w:jc w:val="both"/>
        <w:rPr>
          <w:szCs w:val="20"/>
        </w:rPr>
      </w:pPr>
      <w:r w:rsidRPr="004F327C">
        <w:rPr>
          <w:szCs w:val="20"/>
        </w:rPr>
        <w:t xml:space="preserve">Wydzierżawiający udostępnia Dzierżawcy </w:t>
      </w:r>
      <w:r w:rsidRPr="004F327C">
        <w:rPr>
          <w:b/>
          <w:bCs/>
          <w:szCs w:val="20"/>
        </w:rPr>
        <w:t>bezpłatnie</w:t>
      </w:r>
      <w:r w:rsidRPr="004F327C">
        <w:rPr>
          <w:szCs w:val="20"/>
        </w:rPr>
        <w:t xml:space="preserve"> bacówkę (dwa budynki) oraz dopuszcza sprzedaż produktów serowarskich (niedopuszczalne jest świadczenie innych usług). Na sprzedaż produktów serowarskich Dzierżawca musi uzyskać zgody sanitarne oraz inne zgody zgodnie </w:t>
      </w:r>
      <w:r w:rsidRPr="004F327C">
        <w:t>z</w:t>
      </w:r>
      <w:r>
        <w:t> </w:t>
      </w:r>
      <w:r w:rsidRPr="004F327C">
        <w:t>obowiązującymi</w:t>
      </w:r>
      <w:r w:rsidRPr="004F327C">
        <w:rPr>
          <w:szCs w:val="20"/>
        </w:rPr>
        <w:t xml:space="preserve"> przepisami prawa.</w:t>
      </w:r>
    </w:p>
    <w:p w14:paraId="04D354F6" w14:textId="2302B1DA" w:rsidR="002C5B9D" w:rsidRPr="002C5B9D" w:rsidRDefault="002C5B9D" w:rsidP="00802B84">
      <w:pPr>
        <w:pStyle w:val="Akapitzlist"/>
        <w:numPr>
          <w:ilvl w:val="0"/>
          <w:numId w:val="21"/>
        </w:numPr>
        <w:spacing w:before="0"/>
        <w:contextualSpacing w:val="0"/>
        <w:jc w:val="both"/>
        <w:rPr>
          <w:szCs w:val="20"/>
        </w:rPr>
      </w:pPr>
      <w:r w:rsidRPr="002C5B9D">
        <w:rPr>
          <w:szCs w:val="20"/>
        </w:rPr>
        <w:t>Dzierżawca pisemnie zawiadamia Wydzierżawiającego o zamiarze rozpoczęcia wypasu wraz z podaniem ilości, wieku i gatunku zwierząt jakie będą wypasane oraz określeniem sposobu oznaczenia powierzchni działek użytkowanych w sposób pastwiskowy. Drog</w:t>
      </w:r>
      <w:r>
        <w:rPr>
          <w:szCs w:val="20"/>
        </w:rPr>
        <w:t>ę</w:t>
      </w:r>
      <w:r w:rsidRPr="002C5B9D">
        <w:rPr>
          <w:szCs w:val="20"/>
        </w:rPr>
        <w:t xml:space="preserve"> </w:t>
      </w:r>
      <w:r>
        <w:rPr>
          <w:szCs w:val="20"/>
        </w:rPr>
        <w:t xml:space="preserve">i termin </w:t>
      </w:r>
      <w:r w:rsidRPr="002C5B9D">
        <w:rPr>
          <w:szCs w:val="20"/>
        </w:rPr>
        <w:t>przepędu zwierząt na miejsce wypasu</w:t>
      </w:r>
      <w:r>
        <w:rPr>
          <w:szCs w:val="20"/>
        </w:rPr>
        <w:t xml:space="preserve"> należy szczegółowo uzgodnić z administracją Parku.</w:t>
      </w:r>
    </w:p>
    <w:p w14:paraId="65C909D1" w14:textId="557F0443" w:rsidR="00637409" w:rsidRPr="00D71168" w:rsidRDefault="006249DC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6249DC">
        <w:rPr>
          <w:szCs w:val="20"/>
        </w:rPr>
        <w:t xml:space="preserve">W okresie </w:t>
      </w:r>
      <w:r>
        <w:rPr>
          <w:szCs w:val="20"/>
        </w:rPr>
        <w:t>przebywania</w:t>
      </w:r>
      <w:r w:rsidRPr="006249DC">
        <w:rPr>
          <w:szCs w:val="20"/>
        </w:rPr>
        <w:t xml:space="preserve">  na pastwisku  zwierzęta  muszą mieć </w:t>
      </w:r>
      <w:r>
        <w:rPr>
          <w:szCs w:val="20"/>
        </w:rPr>
        <w:t>stały</w:t>
      </w:r>
      <w:r w:rsidRPr="006249DC">
        <w:rPr>
          <w:szCs w:val="20"/>
        </w:rPr>
        <w:t xml:space="preserve"> dostęp do wody</w:t>
      </w:r>
      <w:r>
        <w:rPr>
          <w:szCs w:val="20"/>
        </w:rPr>
        <w:t xml:space="preserve"> pitnej. </w:t>
      </w:r>
      <w:r w:rsidR="00637409">
        <w:rPr>
          <w:szCs w:val="20"/>
        </w:rPr>
        <w:t xml:space="preserve">Na działce brak jest ujęcia wody czy </w:t>
      </w:r>
      <w:r w:rsidR="001D286A">
        <w:rPr>
          <w:szCs w:val="20"/>
        </w:rPr>
        <w:t>źródła</w:t>
      </w:r>
      <w:r w:rsidR="00637409">
        <w:rPr>
          <w:szCs w:val="20"/>
        </w:rPr>
        <w:t xml:space="preserve"> – na potrzeby pojenia zwierząt dzierżawca </w:t>
      </w:r>
      <w:r>
        <w:rPr>
          <w:szCs w:val="20"/>
        </w:rPr>
        <w:t>musi</w:t>
      </w:r>
      <w:r w:rsidR="00637409">
        <w:rPr>
          <w:szCs w:val="20"/>
        </w:rPr>
        <w:t xml:space="preserve"> </w:t>
      </w:r>
      <w:r w:rsidR="00C32291">
        <w:rPr>
          <w:szCs w:val="20"/>
        </w:rPr>
        <w:t>dostarczać wodę</w:t>
      </w:r>
      <w:r w:rsidR="00637409">
        <w:rPr>
          <w:szCs w:val="20"/>
        </w:rPr>
        <w:t xml:space="preserve"> </w:t>
      </w:r>
      <w:r>
        <w:rPr>
          <w:szCs w:val="20"/>
        </w:rPr>
        <w:t xml:space="preserve">do poideł </w:t>
      </w:r>
      <w:r w:rsidR="00637409">
        <w:rPr>
          <w:szCs w:val="20"/>
        </w:rPr>
        <w:t xml:space="preserve">z potoku położonego </w:t>
      </w:r>
      <w:r w:rsidR="00C32291">
        <w:rPr>
          <w:szCs w:val="20"/>
        </w:rPr>
        <w:t>100 metrów na zachód od dzierżawionej działki.</w:t>
      </w:r>
    </w:p>
    <w:p w14:paraId="4A8CBCAD" w14:textId="3EB3F225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 xml:space="preserve">Zwierzęta wprowadzone na teren dzierżawy powinny pochodzić ze stad zlokalizowanych i zarejestrowanych w granicach administracyjnych </w:t>
      </w:r>
      <w:bookmarkStart w:id="1" w:name="_Hlk33523912"/>
      <w:r w:rsidRPr="00D71168">
        <w:rPr>
          <w:szCs w:val="20"/>
        </w:rPr>
        <w:t>powiatów leskiego i bieszczadzkiego</w:t>
      </w:r>
      <w:bookmarkEnd w:id="1"/>
      <w:r w:rsidRPr="00D71168">
        <w:rPr>
          <w:szCs w:val="20"/>
        </w:rPr>
        <w:t xml:space="preserve"> (oddziały ARIMR w Ustrzykach Dolnych lub Lesku).</w:t>
      </w:r>
      <w:r w:rsidR="00330322">
        <w:rPr>
          <w:szCs w:val="20"/>
        </w:rPr>
        <w:t xml:space="preserve"> </w:t>
      </w:r>
      <w:r w:rsidRPr="00D71168">
        <w:rPr>
          <w:szCs w:val="20"/>
        </w:rPr>
        <w:t xml:space="preserve">W przypadku wykorzystania zwierząt pochodzących spoza w/w obszarów konieczne będzie przeprowadzenie co najmniej </w:t>
      </w:r>
      <w:r w:rsidR="006249DC">
        <w:rPr>
          <w:szCs w:val="20"/>
        </w:rPr>
        <w:t>2</w:t>
      </w:r>
      <w:r w:rsidRPr="00D71168">
        <w:rPr>
          <w:szCs w:val="20"/>
        </w:rPr>
        <w:t xml:space="preserve">-tygodniowej kwarantanny w granicach administracyjnych powiatów leskiego i bieszczadzkiego. Celem kwarantanny jest wyeliminowanie pasożytów i nasion roślin niewystępujących naturalnie na terenie Bieszczadzkiego Parku Narodowego. Jeżeli dla zwierząt wykorzystanych do wypasu będzie przeprowadzana kwarantanna Dzierżawca zobowiązany jest przed jej rozpoczęciem zawiadomić Wydzierżawiającego o terminie jej rozpoczęcia, zakończenia i lokalizacji oraz umożliwić zweryfikowanie tych oświadczeń poprzez okazanie upoważnionemu przedstawicielowi Wydzierżawiającego zwierząt jej poddanych. Okazanie może być dokonywane wielokrotnie.  Zasady kwarantanny nie dotyczą psów pasterskich, </w:t>
      </w:r>
      <w:r w:rsidR="00F602E7">
        <w:rPr>
          <w:szCs w:val="20"/>
        </w:rPr>
        <w:t>które</w:t>
      </w:r>
      <w:r w:rsidR="00F602E7" w:rsidRPr="00D71168">
        <w:rPr>
          <w:szCs w:val="20"/>
        </w:rPr>
        <w:t xml:space="preserve"> </w:t>
      </w:r>
      <w:r w:rsidRPr="00D71168">
        <w:rPr>
          <w:szCs w:val="20"/>
        </w:rPr>
        <w:t>przed ich wprowadzeniem na teren BdPN muszą być jedynie odrobaczone</w:t>
      </w:r>
      <w:r w:rsidR="006249DC">
        <w:rPr>
          <w:szCs w:val="20"/>
        </w:rPr>
        <w:t xml:space="preserve"> oraz zaszczepione przeciwko wściekliźnie</w:t>
      </w:r>
      <w:r w:rsidRPr="00D71168">
        <w:rPr>
          <w:szCs w:val="20"/>
        </w:rPr>
        <w:t>.</w:t>
      </w:r>
    </w:p>
    <w:bookmarkEnd w:id="0"/>
    <w:p w14:paraId="142F0E58" w14:textId="65FA9B89" w:rsid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 xml:space="preserve">Pastwiska powinny być </w:t>
      </w:r>
      <w:r w:rsidR="00E56BB1">
        <w:rPr>
          <w:szCs w:val="20"/>
        </w:rPr>
        <w:t>o</w:t>
      </w:r>
      <w:r w:rsidRPr="00D71168">
        <w:rPr>
          <w:szCs w:val="20"/>
        </w:rPr>
        <w:t>grodzone tymczasowym ogrodzeniem elektrycznym</w:t>
      </w:r>
      <w:r w:rsidR="006249DC">
        <w:rPr>
          <w:szCs w:val="20"/>
        </w:rPr>
        <w:t xml:space="preserve"> (oznakowanym widocznymi tablicami ostrzegawczymi)</w:t>
      </w:r>
      <w:r w:rsidRPr="00D71168">
        <w:rPr>
          <w:szCs w:val="20"/>
        </w:rPr>
        <w:t xml:space="preserve"> lub innym ogrodzeniem przenośnym. Brak jest możliwości budowy stałych ogrodzeń.</w:t>
      </w:r>
    </w:p>
    <w:p w14:paraId="5A2DC9B5" w14:textId="214410CB" w:rsidR="006249DC" w:rsidRPr="00D71168" w:rsidRDefault="00802B84" w:rsidP="00AF4548">
      <w:pPr>
        <w:spacing w:before="0" w:after="160" w:line="259" w:lineRule="auto"/>
        <w:rPr>
          <w:szCs w:val="20"/>
        </w:rPr>
      </w:pPr>
      <w:r>
        <w:rPr>
          <w:szCs w:val="20"/>
        </w:rPr>
        <w:br w:type="page"/>
      </w:r>
      <w:r w:rsidR="006249DC" w:rsidRPr="006249DC">
        <w:rPr>
          <w:szCs w:val="20"/>
        </w:rPr>
        <w:lastRenderedPageBreak/>
        <w:t>Wypas musi być przeprowadzony w systemie  przepędzania  stada po całej powierzchni</w:t>
      </w:r>
      <w:r w:rsidR="002C48BF">
        <w:rPr>
          <w:szCs w:val="20"/>
        </w:rPr>
        <w:t>,</w:t>
      </w:r>
      <w:r w:rsidR="006249DC" w:rsidRPr="006249DC">
        <w:rPr>
          <w:szCs w:val="20"/>
        </w:rPr>
        <w:t xml:space="preserve"> bądź też</w:t>
      </w:r>
      <w:r w:rsidR="006249DC">
        <w:rPr>
          <w:szCs w:val="20"/>
        </w:rPr>
        <w:t xml:space="preserve"> w </w:t>
      </w:r>
      <w:r w:rsidR="006249DC" w:rsidRPr="006249DC">
        <w:rPr>
          <w:szCs w:val="20"/>
        </w:rPr>
        <w:t>systemie</w:t>
      </w:r>
      <w:r w:rsidR="002C48BF">
        <w:rPr>
          <w:szCs w:val="20"/>
        </w:rPr>
        <w:t xml:space="preserve"> </w:t>
      </w:r>
      <w:r w:rsidR="006249DC" w:rsidRPr="006249DC">
        <w:rPr>
          <w:szCs w:val="20"/>
        </w:rPr>
        <w:t>kontrolowanego</w:t>
      </w:r>
      <w:r w:rsidR="002C48BF">
        <w:rPr>
          <w:szCs w:val="20"/>
        </w:rPr>
        <w:t xml:space="preserve"> w</w:t>
      </w:r>
      <w:r w:rsidR="006249DC" w:rsidRPr="006249DC">
        <w:rPr>
          <w:szCs w:val="20"/>
        </w:rPr>
        <w:t>ypasu kwaterowego</w:t>
      </w:r>
      <w:r w:rsidR="002C48BF">
        <w:rPr>
          <w:szCs w:val="20"/>
        </w:rPr>
        <w:t xml:space="preserve"> z przenoszeniem kwater, </w:t>
      </w:r>
      <w:r w:rsidR="002C48BF" w:rsidRPr="002C48BF">
        <w:rPr>
          <w:szCs w:val="20"/>
        </w:rPr>
        <w:t>tak aby nie dochodziło do nadmiernego uszkadzania darni powodowanego zbyt dużą koncentracją czasową zwierząt w</w:t>
      </w:r>
      <w:r w:rsidR="002C48BF">
        <w:rPr>
          <w:szCs w:val="20"/>
        </w:rPr>
        <w:t> </w:t>
      </w:r>
      <w:r w:rsidR="002C48BF" w:rsidRPr="002C48BF">
        <w:rPr>
          <w:szCs w:val="20"/>
        </w:rPr>
        <w:t>jednym miejscu</w:t>
      </w:r>
      <w:r w:rsidR="006249DC" w:rsidRPr="006249DC">
        <w:rPr>
          <w:szCs w:val="20"/>
        </w:rPr>
        <w:t>.</w:t>
      </w:r>
    </w:p>
    <w:p w14:paraId="6C46031C" w14:textId="5A62250D" w:rsidR="00D71168" w:rsidRPr="0088169F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88169F">
        <w:rPr>
          <w:szCs w:val="20"/>
        </w:rPr>
        <w:t>Wydzierżawiający nie ponosi odpowiedzialności cywilnej za szkody w pogłowiu oraz w użytkach zielonych, wyrządzone przez zwierzęta dzikie, a także za szkody powstałe w wyniku</w:t>
      </w:r>
      <w:r w:rsidR="006249DC">
        <w:rPr>
          <w:szCs w:val="20"/>
        </w:rPr>
        <w:t xml:space="preserve"> działania osób trzecich,</w:t>
      </w:r>
      <w:r w:rsidRPr="0088169F">
        <w:rPr>
          <w:szCs w:val="20"/>
        </w:rPr>
        <w:t xml:space="preserve"> pożarów i klęsk żywiołowych.</w:t>
      </w:r>
      <w:r w:rsidR="00F602E7" w:rsidRPr="0088169F">
        <w:rPr>
          <w:szCs w:val="20"/>
        </w:rPr>
        <w:t xml:space="preserve"> Zgodnie z art. 126. pkt 6 ust. 1 Ustawy z dnia 16 kwietnia 2004 r. </w:t>
      </w:r>
      <w:r w:rsidR="00F602E7" w:rsidRPr="00893E2B">
        <w:t>o</w:t>
      </w:r>
      <w:r w:rsidR="00893E2B">
        <w:t> </w:t>
      </w:r>
      <w:r w:rsidR="00F602E7" w:rsidRPr="00893E2B">
        <w:t>ochronie</w:t>
      </w:r>
      <w:r w:rsidR="00F602E7" w:rsidRPr="0088169F">
        <w:rPr>
          <w:szCs w:val="20"/>
        </w:rPr>
        <w:t xml:space="preserve"> przyrody</w:t>
      </w:r>
      <w:r w:rsidR="0088169F" w:rsidRPr="0088169F">
        <w:rPr>
          <w:szCs w:val="20"/>
        </w:rPr>
        <w:t xml:space="preserve"> (Dz.U. 2020 poz. 55) z uwagi na to, że dzierżawiony grunt jest własnością Skarbu Państwa dzierżawcy nie przysługują odszkodowania </w:t>
      </w:r>
      <w:r w:rsidR="00B74CDB">
        <w:rPr>
          <w:szCs w:val="20"/>
        </w:rPr>
        <w:t>od Skarbu Pańs</w:t>
      </w:r>
      <w:r w:rsidR="0088169F">
        <w:rPr>
          <w:szCs w:val="20"/>
        </w:rPr>
        <w:t xml:space="preserve">twa </w:t>
      </w:r>
      <w:r w:rsidR="0088169F" w:rsidRPr="0088169F">
        <w:rPr>
          <w:szCs w:val="20"/>
        </w:rPr>
        <w:t>za szkody w</w:t>
      </w:r>
      <w:r w:rsidR="00893E2B">
        <w:rPr>
          <w:szCs w:val="20"/>
        </w:rPr>
        <w:t> </w:t>
      </w:r>
      <w:r w:rsidR="0088169F" w:rsidRPr="0088169F">
        <w:rPr>
          <w:szCs w:val="20"/>
        </w:rPr>
        <w:t>pogłowiu zwierząt gospodarskich czynione przez</w:t>
      </w:r>
      <w:r w:rsidR="00B74CDB">
        <w:rPr>
          <w:szCs w:val="20"/>
        </w:rPr>
        <w:t xml:space="preserve"> </w:t>
      </w:r>
      <w:r w:rsidR="0088169F" w:rsidRPr="0088169F">
        <w:rPr>
          <w:szCs w:val="20"/>
        </w:rPr>
        <w:t xml:space="preserve"> </w:t>
      </w:r>
      <w:r w:rsidR="0088169F">
        <w:rPr>
          <w:szCs w:val="20"/>
        </w:rPr>
        <w:t xml:space="preserve">wilki, </w:t>
      </w:r>
      <w:r w:rsidR="0088169F" w:rsidRPr="0088169F">
        <w:rPr>
          <w:szCs w:val="20"/>
        </w:rPr>
        <w:t xml:space="preserve">rysie </w:t>
      </w:r>
      <w:r w:rsidR="0088169F">
        <w:rPr>
          <w:szCs w:val="20"/>
        </w:rPr>
        <w:t>i niedźwiedzie.</w:t>
      </w:r>
    </w:p>
    <w:p w14:paraId="54F22B67" w14:textId="3DD721AD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 xml:space="preserve">Podczas wypasania w pobliżu szlaków turystycznych i dróg Dzierżawca zobowiązany jest zapewnić stały nadzór nad wypasanymi zwierzętami oraz nad psami pasterskimi, tak aby nie stanowiły zagrożenia dla osób </w:t>
      </w:r>
      <w:r w:rsidR="00E56BB1">
        <w:rPr>
          <w:szCs w:val="20"/>
        </w:rPr>
        <w:t>poruszających się</w:t>
      </w:r>
      <w:r w:rsidRPr="00D71168">
        <w:rPr>
          <w:szCs w:val="20"/>
        </w:rPr>
        <w:t xml:space="preserve"> </w:t>
      </w:r>
      <w:r w:rsidR="00E56BB1">
        <w:rPr>
          <w:szCs w:val="20"/>
        </w:rPr>
        <w:t>po</w:t>
      </w:r>
      <w:r w:rsidRPr="00D71168">
        <w:rPr>
          <w:szCs w:val="20"/>
        </w:rPr>
        <w:t xml:space="preserve"> w/w szlakach i drogach.</w:t>
      </w:r>
    </w:p>
    <w:p w14:paraId="705C8FEB" w14:textId="63653004" w:rsidR="00E56BB1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>Dzierżawca zobowiązany jest zapewnić opiekę weterynaryjną stada oraz przestrzegać</w:t>
      </w:r>
      <w:r w:rsidR="00330322">
        <w:rPr>
          <w:szCs w:val="20"/>
        </w:rPr>
        <w:t xml:space="preserve"> wszystkich aktualnie obowiązujących</w:t>
      </w:r>
      <w:r w:rsidRPr="00D71168">
        <w:rPr>
          <w:szCs w:val="20"/>
        </w:rPr>
        <w:t xml:space="preserve"> przepisów weterynaryjnych </w:t>
      </w:r>
      <w:r w:rsidR="00330322">
        <w:rPr>
          <w:szCs w:val="20"/>
        </w:rPr>
        <w:t xml:space="preserve">i sanitarnych </w:t>
      </w:r>
      <w:r w:rsidRPr="00D71168">
        <w:rPr>
          <w:szCs w:val="20"/>
        </w:rPr>
        <w:t>dotyczących</w:t>
      </w:r>
      <w:r w:rsidR="00F70446">
        <w:rPr>
          <w:szCs w:val="20"/>
        </w:rPr>
        <w:t xml:space="preserve"> dobrostanu zwierząt</w:t>
      </w:r>
      <w:r w:rsidRPr="00D71168">
        <w:rPr>
          <w:szCs w:val="20"/>
        </w:rPr>
        <w:t xml:space="preserve">. </w:t>
      </w:r>
      <w:r w:rsidR="00E56BB1">
        <w:rPr>
          <w:szCs w:val="20"/>
        </w:rPr>
        <w:t xml:space="preserve"> </w:t>
      </w:r>
    </w:p>
    <w:p w14:paraId="0964C343" w14:textId="6097688E" w:rsidR="00D71168" w:rsidRPr="00D71168" w:rsidRDefault="00E56BB1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>
        <w:rPr>
          <w:szCs w:val="20"/>
        </w:rPr>
        <w:t>P</w:t>
      </w:r>
      <w:r w:rsidR="00D71168" w:rsidRPr="00D71168">
        <w:rPr>
          <w:szCs w:val="20"/>
        </w:rPr>
        <w:t>rzynajmniej 1 raz w roku zwierzęta muszą być odrobaczone</w:t>
      </w:r>
      <w:r w:rsidR="00113F6A">
        <w:rPr>
          <w:szCs w:val="20"/>
        </w:rPr>
        <w:t xml:space="preserve"> </w:t>
      </w:r>
      <w:r w:rsidR="00893E2B">
        <w:rPr>
          <w:szCs w:val="20"/>
        </w:rPr>
        <w:t>(przed wejściem na dzierżawioną powierzchnię)</w:t>
      </w:r>
      <w:r w:rsidR="00C111B5">
        <w:rPr>
          <w:szCs w:val="20"/>
        </w:rPr>
        <w:t>.</w:t>
      </w:r>
      <w:r w:rsidR="00D71168" w:rsidRPr="00D71168">
        <w:rPr>
          <w:szCs w:val="20"/>
        </w:rPr>
        <w:t xml:space="preserve"> Dowodem przeprowadzenia zabiegu jest poświadczenie o</w:t>
      </w:r>
      <w:r w:rsidR="00C111B5">
        <w:rPr>
          <w:szCs w:val="20"/>
        </w:rPr>
        <w:t> </w:t>
      </w:r>
      <w:r w:rsidR="00D71168" w:rsidRPr="00D71168">
        <w:rPr>
          <w:szCs w:val="20"/>
        </w:rPr>
        <w:t>odrobaczeniu danego stada z określeniem sztuk podpisane przez lekarza weterynarii.</w:t>
      </w:r>
    </w:p>
    <w:p w14:paraId="2756E064" w14:textId="35FF0E15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 xml:space="preserve">Pracownicy Bieszczadzkiego Parku Narodowego wykonujący powierzone im zadania mają pełne prawo wstępu na całość przedmiotu dzierżawy przez cały okres realizacji umowy. </w:t>
      </w:r>
    </w:p>
    <w:p w14:paraId="4AEB1499" w14:textId="4B409917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 xml:space="preserve">Po zakończeniu </w:t>
      </w:r>
      <w:r w:rsidR="00802B84">
        <w:rPr>
          <w:szCs w:val="20"/>
        </w:rPr>
        <w:t>wypasu</w:t>
      </w:r>
      <w:r w:rsidRPr="00D71168">
        <w:rPr>
          <w:szCs w:val="20"/>
        </w:rPr>
        <w:t xml:space="preserve"> na działkach roboczych Dzierżawca zawiadamia o tym fakcie Wydzierżawiającego. Po otrzymaniu zawiadomienia  wyznaczony zostanie termin odbioru zabiegów wykonanych przez Dzierżawcę.</w:t>
      </w:r>
    </w:p>
    <w:p w14:paraId="37821B3B" w14:textId="77777777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>Dzierżawca ma obowiązek zachowania powierzchni trwałych użytków zielonych oraz wszystkich elementów krajobrazu tworzących ostoje dzikiej przyrody (oczka wodne, miedze, zadrzewienia,  zakrzaczenia, itp.). Zakazuje się niszczenia i wycinania drzew zdrowych, uschniętych i chorych oraz usuwania wywrotów. Usunięcie drzew lub krzewów może nastąpić jedynie po uprzednim uzyskaniu pisemnej zgody od wydzierżawiającego. Wydzierżawiający zastrzega sobie prawo odmowy wydania takiej zgody jeżeli w jego ocenie może to spowodować szkodę przyrodniczą lub nie ma po temu przesłanek dla zapewnienia bezpieczeństwa osób i zwierząt.</w:t>
      </w:r>
    </w:p>
    <w:p w14:paraId="155B849F" w14:textId="77777777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 xml:space="preserve">Dzierżawca nie może poddawać przedmiotu dzierżawy melioracjom. Zakazane jest w szczególności nawożenie terenu obornikiem i nawozami sztucznymi, wapnowanie stosowanie środków ochrony roślin, dosiewanie nasion, stosowania ścieków i osadów ściekowych, budowy systemów melioracji wodnych. </w:t>
      </w:r>
    </w:p>
    <w:p w14:paraId="72FB8799" w14:textId="77777777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>Zakazuje się wypalania roślinności oraz palenia pozostałości słomy, siana, gałęzi, itp.</w:t>
      </w:r>
    </w:p>
    <w:p w14:paraId="368DEF7E" w14:textId="77777777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>Zakazuje się chwytania lub zabijania dziko występujących zwierząt, zbierania lub niszczenia jaj, postaci młodocianych i form rozwojowych zwierząt, umyślnego płoszenia zwierząt kręgowych, zbierania poroży, niszczenia nor, gniazd, legowisk i innych schronień zwierząt oraz ich miejsc rozrodu.</w:t>
      </w:r>
    </w:p>
    <w:p w14:paraId="7E2998CD" w14:textId="77777777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>Zakazuje się pozyskiwania, niszczenia, handlu lub umyślnego uszkadzania roślin i grzybów.</w:t>
      </w:r>
    </w:p>
    <w:p w14:paraId="204AB06D" w14:textId="2C797EAC" w:rsidR="00D71168" w:rsidRPr="00D71168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>Zakazuje się składowania odpadów (opakowania po środkach produkcji, starych opon, śmieci, itp.). Odbiór wykonanych zabiegów dzierżawy możliwy będzie tylko jeżeli powierzchnia wolna będzie od jakichkolwiek odpadów.</w:t>
      </w:r>
    </w:p>
    <w:p w14:paraId="029842B1" w14:textId="083DDFC7" w:rsidR="00472E92" w:rsidRPr="00256659" w:rsidRDefault="00D71168" w:rsidP="00802B84">
      <w:pPr>
        <w:numPr>
          <w:ilvl w:val="0"/>
          <w:numId w:val="21"/>
        </w:numPr>
        <w:spacing w:before="0"/>
        <w:jc w:val="both"/>
        <w:rPr>
          <w:szCs w:val="20"/>
        </w:rPr>
      </w:pPr>
      <w:r w:rsidRPr="00D71168">
        <w:rPr>
          <w:szCs w:val="20"/>
        </w:rPr>
        <w:t>Dzierżawca zobowiązany jest do stosowania się do przepisów ustawodawstwa krajowego w zakresie: ochrony przyrody, przepisów bhp, transportu i przemieszczania zwierząt gospodarskich, zapewnienia dobrostanu zwierząt, ich ochrony etc.</w:t>
      </w:r>
    </w:p>
    <w:sectPr w:rsidR="00472E92" w:rsidRPr="00256659" w:rsidSect="00E56BB1">
      <w:footerReference w:type="default" r:id="rId8"/>
      <w:pgSz w:w="11906" w:h="16838" w:code="9"/>
      <w:pgMar w:top="1134" w:right="1134" w:bottom="1134" w:left="1418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ADC9" w14:textId="77777777" w:rsidR="00B92984" w:rsidRDefault="00B92984" w:rsidP="00256659">
      <w:pPr>
        <w:spacing w:before="0" w:after="0"/>
      </w:pPr>
      <w:r>
        <w:separator/>
      </w:r>
    </w:p>
  </w:endnote>
  <w:endnote w:type="continuationSeparator" w:id="0">
    <w:p w14:paraId="025E023D" w14:textId="77777777" w:rsidR="00B92984" w:rsidRDefault="00B92984" w:rsidP="002566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48997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BE6EAD" w14:textId="77777777" w:rsidR="00256659" w:rsidRDefault="0025665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8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86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A8B142" w14:textId="77777777" w:rsidR="00256659" w:rsidRDefault="00256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2BDA" w14:textId="77777777" w:rsidR="00B92984" w:rsidRDefault="00B92984" w:rsidP="00256659">
      <w:pPr>
        <w:spacing w:before="0" w:after="0"/>
      </w:pPr>
      <w:r>
        <w:separator/>
      </w:r>
    </w:p>
  </w:footnote>
  <w:footnote w:type="continuationSeparator" w:id="0">
    <w:p w14:paraId="49C94526" w14:textId="77777777" w:rsidR="00B92984" w:rsidRDefault="00B92984" w:rsidP="002566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D4"/>
    <w:multiLevelType w:val="hybridMultilevel"/>
    <w:tmpl w:val="698A5678"/>
    <w:lvl w:ilvl="0" w:tplc="A0CAD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E95"/>
    <w:multiLevelType w:val="hybridMultilevel"/>
    <w:tmpl w:val="AF1C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AD1"/>
    <w:multiLevelType w:val="hybridMultilevel"/>
    <w:tmpl w:val="56BCD08A"/>
    <w:lvl w:ilvl="0" w:tplc="A15A9FB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0CAD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09A"/>
    <w:multiLevelType w:val="hybridMultilevel"/>
    <w:tmpl w:val="151C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05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78B5"/>
    <w:multiLevelType w:val="hybridMultilevel"/>
    <w:tmpl w:val="001C8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2416"/>
    <w:multiLevelType w:val="hybridMultilevel"/>
    <w:tmpl w:val="4EE0540E"/>
    <w:lvl w:ilvl="0" w:tplc="A0CAD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D3FAC"/>
    <w:multiLevelType w:val="hybridMultilevel"/>
    <w:tmpl w:val="DB6EBAA8"/>
    <w:lvl w:ilvl="0" w:tplc="7BD051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2F1BD3"/>
    <w:multiLevelType w:val="hybridMultilevel"/>
    <w:tmpl w:val="56BCD08A"/>
    <w:lvl w:ilvl="0" w:tplc="A15A9FB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0CAD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B24"/>
    <w:multiLevelType w:val="hybridMultilevel"/>
    <w:tmpl w:val="D34E0C42"/>
    <w:lvl w:ilvl="0" w:tplc="A0CAD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4BF0"/>
    <w:multiLevelType w:val="hybridMultilevel"/>
    <w:tmpl w:val="0C68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51A2D"/>
    <w:multiLevelType w:val="hybridMultilevel"/>
    <w:tmpl w:val="C7E06990"/>
    <w:lvl w:ilvl="0" w:tplc="A0CAD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D1B4B"/>
    <w:multiLevelType w:val="hybridMultilevel"/>
    <w:tmpl w:val="4C6083B2"/>
    <w:lvl w:ilvl="0" w:tplc="A904B304">
      <w:start w:val="13"/>
      <w:numFmt w:val="bullet"/>
      <w:lvlText w:val="•"/>
      <w:lvlJc w:val="left"/>
      <w:pPr>
        <w:ind w:left="1068" w:hanging="708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31D7"/>
    <w:multiLevelType w:val="hybridMultilevel"/>
    <w:tmpl w:val="F26A7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24AD"/>
    <w:multiLevelType w:val="hybridMultilevel"/>
    <w:tmpl w:val="88E09916"/>
    <w:lvl w:ilvl="0" w:tplc="A0CAD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5A60"/>
    <w:multiLevelType w:val="hybridMultilevel"/>
    <w:tmpl w:val="AB36C2A6"/>
    <w:lvl w:ilvl="0" w:tplc="A0CAD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C3521"/>
    <w:multiLevelType w:val="multilevel"/>
    <w:tmpl w:val="471A3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D15EFB"/>
    <w:multiLevelType w:val="hybridMultilevel"/>
    <w:tmpl w:val="0B68E97A"/>
    <w:lvl w:ilvl="0" w:tplc="545CA7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9346D"/>
    <w:multiLevelType w:val="hybridMultilevel"/>
    <w:tmpl w:val="696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05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B01ED"/>
    <w:multiLevelType w:val="hybridMultilevel"/>
    <w:tmpl w:val="0D561490"/>
    <w:lvl w:ilvl="0" w:tplc="A0CAD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847AA"/>
    <w:multiLevelType w:val="hybridMultilevel"/>
    <w:tmpl w:val="151C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05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C3648"/>
    <w:multiLevelType w:val="hybridMultilevel"/>
    <w:tmpl w:val="30AA42FA"/>
    <w:lvl w:ilvl="0" w:tplc="A0CAD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107C7"/>
    <w:multiLevelType w:val="hybridMultilevel"/>
    <w:tmpl w:val="91D08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774B02"/>
    <w:multiLevelType w:val="multilevel"/>
    <w:tmpl w:val="977AC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FE61588"/>
    <w:multiLevelType w:val="multilevel"/>
    <w:tmpl w:val="60D09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42D42BB"/>
    <w:multiLevelType w:val="hybridMultilevel"/>
    <w:tmpl w:val="151C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05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20"/>
  </w:num>
  <w:num w:numId="8">
    <w:abstractNumId w:val="22"/>
  </w:num>
  <w:num w:numId="9">
    <w:abstractNumId w:val="23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0"/>
  </w:num>
  <w:num w:numId="18">
    <w:abstractNumId w:val="18"/>
  </w:num>
  <w:num w:numId="19">
    <w:abstractNumId w:val="11"/>
  </w:num>
  <w:num w:numId="20">
    <w:abstractNumId w:val="1"/>
  </w:num>
  <w:num w:numId="21">
    <w:abstractNumId w:val="17"/>
  </w:num>
  <w:num w:numId="22">
    <w:abstractNumId w:val="6"/>
  </w:num>
  <w:num w:numId="23">
    <w:abstractNumId w:val="3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52"/>
    <w:rsid w:val="00001A67"/>
    <w:rsid w:val="00002EA1"/>
    <w:rsid w:val="0003325E"/>
    <w:rsid w:val="00037811"/>
    <w:rsid w:val="00087ABA"/>
    <w:rsid w:val="00097393"/>
    <w:rsid w:val="000C689F"/>
    <w:rsid w:val="001053E4"/>
    <w:rsid w:val="00113F6A"/>
    <w:rsid w:val="0012563E"/>
    <w:rsid w:val="00174BB2"/>
    <w:rsid w:val="0019335D"/>
    <w:rsid w:val="001A7BD3"/>
    <w:rsid w:val="001D286A"/>
    <w:rsid w:val="001E73CD"/>
    <w:rsid w:val="001F4565"/>
    <w:rsid w:val="002420DE"/>
    <w:rsid w:val="00242608"/>
    <w:rsid w:val="00256659"/>
    <w:rsid w:val="00266A99"/>
    <w:rsid w:val="002B0B58"/>
    <w:rsid w:val="002C1285"/>
    <w:rsid w:val="002C48BF"/>
    <w:rsid w:val="002C5B9D"/>
    <w:rsid w:val="002D57D8"/>
    <w:rsid w:val="002E5053"/>
    <w:rsid w:val="003160DD"/>
    <w:rsid w:val="00322FF6"/>
    <w:rsid w:val="00330322"/>
    <w:rsid w:val="00343558"/>
    <w:rsid w:val="003575E6"/>
    <w:rsid w:val="00357BA3"/>
    <w:rsid w:val="00361FDD"/>
    <w:rsid w:val="00385367"/>
    <w:rsid w:val="003906CA"/>
    <w:rsid w:val="003A38C1"/>
    <w:rsid w:val="003B44FD"/>
    <w:rsid w:val="003C064B"/>
    <w:rsid w:val="003D475F"/>
    <w:rsid w:val="00425E88"/>
    <w:rsid w:val="00470CE7"/>
    <w:rsid w:val="00472E92"/>
    <w:rsid w:val="0048329D"/>
    <w:rsid w:val="00493F39"/>
    <w:rsid w:val="004969BF"/>
    <w:rsid w:val="004C597E"/>
    <w:rsid w:val="004E33B4"/>
    <w:rsid w:val="004F327C"/>
    <w:rsid w:val="004F575C"/>
    <w:rsid w:val="00506448"/>
    <w:rsid w:val="005176D5"/>
    <w:rsid w:val="00521143"/>
    <w:rsid w:val="0052616C"/>
    <w:rsid w:val="00553A5F"/>
    <w:rsid w:val="0057465D"/>
    <w:rsid w:val="00586387"/>
    <w:rsid w:val="00595E5F"/>
    <w:rsid w:val="005B04DB"/>
    <w:rsid w:val="005C20D3"/>
    <w:rsid w:val="005D296D"/>
    <w:rsid w:val="005F5616"/>
    <w:rsid w:val="006249DC"/>
    <w:rsid w:val="00637409"/>
    <w:rsid w:val="00663343"/>
    <w:rsid w:val="00684BB6"/>
    <w:rsid w:val="00693CA7"/>
    <w:rsid w:val="0069580C"/>
    <w:rsid w:val="0069589F"/>
    <w:rsid w:val="006A2077"/>
    <w:rsid w:val="006A3751"/>
    <w:rsid w:val="006B0854"/>
    <w:rsid w:val="006D7230"/>
    <w:rsid w:val="006E4EAD"/>
    <w:rsid w:val="006F7D23"/>
    <w:rsid w:val="00706CC8"/>
    <w:rsid w:val="007324F2"/>
    <w:rsid w:val="00750E40"/>
    <w:rsid w:val="00780E89"/>
    <w:rsid w:val="007871CD"/>
    <w:rsid w:val="0079158B"/>
    <w:rsid w:val="007A5718"/>
    <w:rsid w:val="007B7D6C"/>
    <w:rsid w:val="007D315F"/>
    <w:rsid w:val="007F2033"/>
    <w:rsid w:val="007F419B"/>
    <w:rsid w:val="00802B84"/>
    <w:rsid w:val="0084796F"/>
    <w:rsid w:val="0088169F"/>
    <w:rsid w:val="008848E1"/>
    <w:rsid w:val="00893E2B"/>
    <w:rsid w:val="008B29AC"/>
    <w:rsid w:val="008C290A"/>
    <w:rsid w:val="008C3F6C"/>
    <w:rsid w:val="00905FE9"/>
    <w:rsid w:val="00916878"/>
    <w:rsid w:val="0093354A"/>
    <w:rsid w:val="0093797F"/>
    <w:rsid w:val="0095720C"/>
    <w:rsid w:val="0098538A"/>
    <w:rsid w:val="00A4257C"/>
    <w:rsid w:val="00A53217"/>
    <w:rsid w:val="00A53958"/>
    <w:rsid w:val="00A54CB1"/>
    <w:rsid w:val="00A67718"/>
    <w:rsid w:val="00A808E9"/>
    <w:rsid w:val="00A857DD"/>
    <w:rsid w:val="00AA6051"/>
    <w:rsid w:val="00AD1D1D"/>
    <w:rsid w:val="00AF4548"/>
    <w:rsid w:val="00B11483"/>
    <w:rsid w:val="00B451B2"/>
    <w:rsid w:val="00B45C9B"/>
    <w:rsid w:val="00B567AB"/>
    <w:rsid w:val="00B74CDB"/>
    <w:rsid w:val="00B87223"/>
    <w:rsid w:val="00B92984"/>
    <w:rsid w:val="00BA0CC7"/>
    <w:rsid w:val="00BD2873"/>
    <w:rsid w:val="00BD7712"/>
    <w:rsid w:val="00BE2646"/>
    <w:rsid w:val="00BE7850"/>
    <w:rsid w:val="00C111B5"/>
    <w:rsid w:val="00C32291"/>
    <w:rsid w:val="00C4449E"/>
    <w:rsid w:val="00C47FCE"/>
    <w:rsid w:val="00C500AC"/>
    <w:rsid w:val="00C50E34"/>
    <w:rsid w:val="00C53BA5"/>
    <w:rsid w:val="00C97BE7"/>
    <w:rsid w:val="00CD6FF3"/>
    <w:rsid w:val="00D33A3A"/>
    <w:rsid w:val="00D3486B"/>
    <w:rsid w:val="00D56508"/>
    <w:rsid w:val="00D56880"/>
    <w:rsid w:val="00D71168"/>
    <w:rsid w:val="00D72E25"/>
    <w:rsid w:val="00D96115"/>
    <w:rsid w:val="00D970EA"/>
    <w:rsid w:val="00DC1209"/>
    <w:rsid w:val="00DC27DF"/>
    <w:rsid w:val="00DC6D30"/>
    <w:rsid w:val="00DE01D2"/>
    <w:rsid w:val="00E017B0"/>
    <w:rsid w:val="00E10942"/>
    <w:rsid w:val="00E37CB4"/>
    <w:rsid w:val="00E4398E"/>
    <w:rsid w:val="00E50CD7"/>
    <w:rsid w:val="00E56BB1"/>
    <w:rsid w:val="00E812C6"/>
    <w:rsid w:val="00EA17FC"/>
    <w:rsid w:val="00ED37B3"/>
    <w:rsid w:val="00EF5AE2"/>
    <w:rsid w:val="00F13318"/>
    <w:rsid w:val="00F30752"/>
    <w:rsid w:val="00F33D96"/>
    <w:rsid w:val="00F34109"/>
    <w:rsid w:val="00F44709"/>
    <w:rsid w:val="00F602E7"/>
    <w:rsid w:val="00F70446"/>
    <w:rsid w:val="00F848E6"/>
    <w:rsid w:val="00FA558C"/>
    <w:rsid w:val="00FB7AAF"/>
    <w:rsid w:val="00FC109E"/>
    <w:rsid w:val="00FC2082"/>
    <w:rsid w:val="00FC4048"/>
    <w:rsid w:val="00FD7E25"/>
    <w:rsid w:val="00FE6C3A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9F20C"/>
  <w15:docId w15:val="{450F9B56-2193-4134-B3A5-3FD6AD28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9B"/>
    <w:pPr>
      <w:spacing w:before="120" w:after="120" w:line="240" w:lineRule="auto"/>
    </w:pPr>
    <w:rPr>
      <w:rFonts w:ascii="Lato" w:hAnsi="Lato"/>
      <w:kern w:val="2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5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6659"/>
    <w:rPr>
      <w:rFonts w:ascii="Lato" w:hAnsi="Lato"/>
      <w:kern w:val="20"/>
      <w:sz w:val="20"/>
    </w:rPr>
  </w:style>
  <w:style w:type="paragraph" w:styleId="Stopka">
    <w:name w:val="footer"/>
    <w:basedOn w:val="Normalny"/>
    <w:link w:val="StopkaZnak"/>
    <w:uiPriority w:val="99"/>
    <w:unhideWhenUsed/>
    <w:rsid w:val="0025665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56659"/>
    <w:rPr>
      <w:rFonts w:ascii="Lato" w:hAnsi="Lato"/>
      <w:kern w:val="20"/>
      <w:sz w:val="20"/>
    </w:rPr>
  </w:style>
  <w:style w:type="paragraph" w:styleId="Akapitzlist">
    <w:name w:val="List Paragraph"/>
    <w:basedOn w:val="Normalny"/>
    <w:uiPriority w:val="34"/>
    <w:qFormat/>
    <w:rsid w:val="003A38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8C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99"/>
    <w:rPr>
      <w:rFonts w:ascii="Segoe UI" w:hAnsi="Segoe UI" w:cs="Segoe UI"/>
      <w:kern w:val="2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69F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69F"/>
    <w:rPr>
      <w:rFonts w:ascii="Lato" w:hAnsi="Lato"/>
      <w:kern w:val="2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6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69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69F"/>
    <w:rPr>
      <w:rFonts w:ascii="Lato" w:hAnsi="Lato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69F"/>
    <w:rPr>
      <w:rFonts w:ascii="Lato" w:hAnsi="Lato"/>
      <w:b/>
      <w:bCs/>
      <w:kern w:val="20"/>
      <w:sz w:val="20"/>
      <w:szCs w:val="20"/>
    </w:rPr>
  </w:style>
  <w:style w:type="table" w:styleId="Tabela-Siatka">
    <w:name w:val="Table Grid"/>
    <w:basedOn w:val="Standardowy"/>
    <w:uiPriority w:val="39"/>
    <w:rsid w:val="00BA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9740-1BD2-4F36-8E62-8B59ABD1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Bekier</dc:creator>
  <cp:keywords/>
  <dc:description/>
  <cp:lastModifiedBy>Leopold Bekier</cp:lastModifiedBy>
  <cp:revision>8</cp:revision>
  <cp:lastPrinted>2020-03-18T10:29:00Z</cp:lastPrinted>
  <dcterms:created xsi:type="dcterms:W3CDTF">2020-05-20T08:23:00Z</dcterms:created>
  <dcterms:modified xsi:type="dcterms:W3CDTF">2020-05-20T09:45:00Z</dcterms:modified>
</cp:coreProperties>
</file>