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91" w:rsidRPr="00680138" w:rsidRDefault="006A266C" w:rsidP="00680138">
      <w:pPr>
        <w:spacing w:after="483"/>
        <w:ind w:left="227" w:firstLine="0"/>
        <w:jc w:val="right"/>
        <w:rPr>
          <w:b/>
          <w:szCs w:val="18"/>
        </w:rPr>
      </w:pPr>
      <w:r w:rsidRPr="00680138">
        <w:rPr>
          <w:b/>
          <w:szCs w:val="18"/>
        </w:rPr>
        <w:t xml:space="preserve">Załącznik nr 4 do ogłoszenia </w:t>
      </w:r>
    </w:p>
    <w:p w:rsidR="00286891" w:rsidRPr="00680138" w:rsidRDefault="006A266C">
      <w:pPr>
        <w:spacing w:after="0" w:line="259" w:lineRule="auto"/>
        <w:ind w:left="0" w:right="182" w:firstLine="0"/>
        <w:jc w:val="center"/>
        <w:rPr>
          <w:sz w:val="20"/>
          <w:szCs w:val="20"/>
        </w:rPr>
      </w:pPr>
      <w:r w:rsidRPr="00680138">
        <w:rPr>
          <w:b/>
          <w:sz w:val="20"/>
          <w:szCs w:val="20"/>
        </w:rPr>
        <w:t xml:space="preserve">Regulamin przetargu </w:t>
      </w:r>
    </w:p>
    <w:p w:rsidR="00286891" w:rsidRPr="00680138" w:rsidRDefault="006A266C">
      <w:pPr>
        <w:spacing w:after="1" w:line="259" w:lineRule="auto"/>
        <w:ind w:left="405" w:firstLine="0"/>
        <w:jc w:val="center"/>
        <w:rPr>
          <w:sz w:val="20"/>
          <w:szCs w:val="20"/>
        </w:rPr>
      </w:pP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Do przetargu mogą przystąpić osoby fizyczne i przedsiębiorcy na równych prawach, bez żadnych ograniczeń. </w:t>
      </w:r>
    </w:p>
    <w:p w:rsidR="00286891" w:rsidRPr="00680138" w:rsidRDefault="006A266C">
      <w:pPr>
        <w:numPr>
          <w:ilvl w:val="0"/>
          <w:numId w:val="1"/>
        </w:numPr>
        <w:ind w:hanging="360"/>
        <w:rPr>
          <w:color w:val="auto"/>
          <w:sz w:val="20"/>
          <w:szCs w:val="20"/>
        </w:rPr>
      </w:pPr>
      <w:r w:rsidRPr="00680138">
        <w:rPr>
          <w:sz w:val="20"/>
          <w:szCs w:val="20"/>
        </w:rPr>
        <w:t xml:space="preserve">Przetarg odbędzie się </w:t>
      </w:r>
      <w:r w:rsidRPr="00BE6B4A">
        <w:rPr>
          <w:sz w:val="20"/>
          <w:szCs w:val="20"/>
          <w:u w:val="single"/>
        </w:rPr>
        <w:t xml:space="preserve">w siedzibie BdPN w dniu </w:t>
      </w:r>
      <w:r w:rsidR="007974EA">
        <w:rPr>
          <w:rFonts w:eastAsia="Times New Roman" w:cs="Times New Roman"/>
          <w:bCs/>
          <w:color w:val="auto"/>
          <w:sz w:val="20"/>
          <w:szCs w:val="20"/>
          <w:u w:val="single"/>
        </w:rPr>
        <w:t>6 maja</w:t>
      </w:r>
      <w:r w:rsidR="004E2F1D">
        <w:rPr>
          <w:rFonts w:eastAsia="Times New Roman" w:cs="Times New Roman"/>
          <w:bCs/>
          <w:color w:val="auto"/>
          <w:sz w:val="20"/>
          <w:szCs w:val="20"/>
          <w:u w:val="single"/>
        </w:rPr>
        <w:t xml:space="preserve"> 2019</w:t>
      </w:r>
      <w:r w:rsidRPr="00BE6B4A">
        <w:rPr>
          <w:color w:val="auto"/>
          <w:sz w:val="20"/>
          <w:szCs w:val="20"/>
          <w:u w:val="single"/>
        </w:rPr>
        <w:t xml:space="preserve"> r</w:t>
      </w:r>
      <w:r w:rsidR="00FA6432" w:rsidRPr="00BE6B4A">
        <w:rPr>
          <w:color w:val="auto"/>
          <w:sz w:val="20"/>
          <w:szCs w:val="20"/>
          <w:u w:val="single"/>
        </w:rPr>
        <w:t>oku</w:t>
      </w:r>
      <w:r w:rsidRPr="00BE6B4A">
        <w:rPr>
          <w:color w:val="auto"/>
          <w:sz w:val="20"/>
          <w:szCs w:val="20"/>
          <w:u w:val="single"/>
        </w:rPr>
        <w:t xml:space="preserve"> o godzinie 1</w:t>
      </w:r>
      <w:r w:rsidR="00FA6432" w:rsidRPr="00BE6B4A">
        <w:rPr>
          <w:color w:val="auto"/>
          <w:sz w:val="20"/>
          <w:szCs w:val="20"/>
          <w:u w:val="single"/>
        </w:rPr>
        <w:t>3</w:t>
      </w:r>
      <w:r w:rsidR="00FA6432" w:rsidRPr="00BE6B4A">
        <w:rPr>
          <w:color w:val="auto"/>
          <w:sz w:val="20"/>
          <w:szCs w:val="20"/>
          <w:u w:val="single"/>
          <w:vertAlign w:val="superscript"/>
        </w:rPr>
        <w:t>30</w:t>
      </w:r>
      <w:r w:rsidR="007974EA">
        <w:rPr>
          <w:color w:val="auto"/>
          <w:sz w:val="20"/>
          <w:szCs w:val="20"/>
          <w:u w:val="single"/>
          <w:vertAlign w:val="superscript"/>
        </w:rPr>
        <w:t xml:space="preserve"> </w:t>
      </w:r>
      <w:r w:rsidR="007974EA">
        <w:rPr>
          <w:color w:val="auto"/>
          <w:sz w:val="20"/>
          <w:szCs w:val="20"/>
          <w:u w:val="single"/>
        </w:rPr>
        <w:t xml:space="preserve"> (komisyjne otwarcie ofert)</w:t>
      </w:r>
      <w:r w:rsidRPr="00680138">
        <w:rPr>
          <w:b/>
          <w:color w:val="auto"/>
          <w:sz w:val="20"/>
          <w:szCs w:val="20"/>
        </w:rPr>
        <w:t>.</w:t>
      </w:r>
      <w:r w:rsidRPr="00680138">
        <w:rPr>
          <w:color w:val="auto"/>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Przystąpienie do przetargu oznacza zaakceptowanie niniejszego regulaminu. </w:t>
      </w:r>
    </w:p>
    <w:p w:rsidR="00286891" w:rsidRPr="00680138" w:rsidRDefault="006A266C">
      <w:pPr>
        <w:numPr>
          <w:ilvl w:val="0"/>
          <w:numId w:val="1"/>
        </w:numPr>
        <w:ind w:hanging="360"/>
        <w:rPr>
          <w:sz w:val="20"/>
          <w:szCs w:val="20"/>
        </w:rPr>
      </w:pPr>
      <w:r w:rsidRPr="00680138">
        <w:rPr>
          <w:sz w:val="20"/>
          <w:szCs w:val="20"/>
        </w:rPr>
        <w:t xml:space="preserve">Poprzez zaakceptowanie regulaminu Oferent oświadcza, że po jego stronie nie występują żadne przesłanki prawne, które sprzeciwiają się uczestniczeniu w stosunkach handlowo-prawnych z Bieszczadzkim Parkiem Narodowym.  </w:t>
      </w:r>
    </w:p>
    <w:p w:rsidR="00286891" w:rsidRPr="00680138" w:rsidRDefault="006A266C">
      <w:pPr>
        <w:numPr>
          <w:ilvl w:val="0"/>
          <w:numId w:val="1"/>
        </w:numPr>
        <w:ind w:hanging="360"/>
        <w:rPr>
          <w:sz w:val="20"/>
          <w:szCs w:val="20"/>
        </w:rPr>
      </w:pPr>
      <w:r w:rsidRPr="00680138">
        <w:rPr>
          <w:sz w:val="20"/>
          <w:szCs w:val="20"/>
        </w:rPr>
        <w:t xml:space="preserve">Dyrektor BdPN zastrzega sobie prawo odmowy sprzedaży drewna Oferentom, którzy w uprzednich latach nie przestrzegali warunków zawartych z BdPN umów oraz zasad sprzedaży i odbioru drewna obowiązujących w BdPN. </w:t>
      </w:r>
    </w:p>
    <w:p w:rsidR="00286891" w:rsidRPr="00680138" w:rsidRDefault="006A266C" w:rsidP="00FA6432">
      <w:pPr>
        <w:numPr>
          <w:ilvl w:val="0"/>
          <w:numId w:val="1"/>
        </w:numPr>
        <w:spacing w:after="0" w:line="240" w:lineRule="auto"/>
        <w:ind w:left="357" w:hanging="360"/>
        <w:rPr>
          <w:color w:val="auto"/>
          <w:sz w:val="20"/>
          <w:szCs w:val="20"/>
        </w:rPr>
      </w:pPr>
      <w:r w:rsidRPr="00680138">
        <w:rPr>
          <w:sz w:val="20"/>
          <w:szCs w:val="20"/>
        </w:rPr>
        <w:t xml:space="preserve">Warunkiem udziału w przetargu jest wpłata na konto BdPN wadium (w gotówce) </w:t>
      </w:r>
      <w:r w:rsidRPr="00680138">
        <w:rPr>
          <w:color w:val="auto"/>
          <w:sz w:val="20"/>
          <w:szCs w:val="20"/>
        </w:rPr>
        <w:t xml:space="preserve">w wysokości </w:t>
      </w:r>
      <w:r w:rsidRPr="00680138">
        <w:rPr>
          <w:b/>
          <w:color w:val="auto"/>
          <w:sz w:val="20"/>
          <w:szCs w:val="20"/>
        </w:rPr>
        <w:t>2 000 zł</w:t>
      </w:r>
      <w:r w:rsidRPr="00680138">
        <w:rPr>
          <w:color w:val="auto"/>
          <w:sz w:val="20"/>
          <w:szCs w:val="20"/>
        </w:rPr>
        <w:t xml:space="preserve"> (słownie: dwa tysiące złotych). </w:t>
      </w:r>
    </w:p>
    <w:p w:rsidR="00413EA7" w:rsidRPr="00FA6432" w:rsidRDefault="00413EA7" w:rsidP="00FA6432">
      <w:pPr>
        <w:pStyle w:val="Akapitzlist"/>
        <w:spacing w:after="0" w:line="240" w:lineRule="auto"/>
        <w:ind w:left="357" w:firstLine="0"/>
        <w:rPr>
          <w:rFonts w:eastAsia="Times New Roman" w:cs="Times New Roman"/>
          <w:b/>
          <w:i/>
          <w:color w:val="auto"/>
          <w:sz w:val="20"/>
          <w:szCs w:val="20"/>
          <w:u w:val="single"/>
        </w:rPr>
      </w:pPr>
      <w:r w:rsidRPr="00FA6432">
        <w:rPr>
          <w:rFonts w:eastAsia="Times New Roman" w:cs="Times New Roman"/>
          <w:bCs/>
          <w:color w:val="auto"/>
          <w:sz w:val="20"/>
          <w:szCs w:val="20"/>
          <w:u w:val="single"/>
        </w:rPr>
        <w:t>Numer konta do wpłaty wadium: Bieszczadzki Park Narodowy</w:t>
      </w:r>
      <w:r w:rsidRPr="00FA6432">
        <w:rPr>
          <w:rFonts w:eastAsia="Times New Roman" w:cs="Times New Roman"/>
          <w:color w:val="auto"/>
          <w:sz w:val="20"/>
          <w:szCs w:val="20"/>
          <w:u w:val="single"/>
        </w:rPr>
        <w:t xml:space="preserve"> </w:t>
      </w:r>
      <w:r w:rsidRPr="00FA6432">
        <w:rPr>
          <w:rFonts w:eastAsia="Times New Roman" w:cs="Times New Roman"/>
          <w:bCs/>
          <w:color w:val="auto"/>
          <w:sz w:val="20"/>
          <w:szCs w:val="20"/>
          <w:u w:val="single"/>
        </w:rPr>
        <w:t>84 1130 1105 0005 2168 1320 0001</w:t>
      </w:r>
      <w:r w:rsidRPr="00FA6432">
        <w:rPr>
          <w:rFonts w:eastAsia="Times New Roman" w:cs="Times New Roman"/>
          <w:color w:val="auto"/>
          <w:sz w:val="20"/>
          <w:szCs w:val="20"/>
          <w:u w:val="single"/>
        </w:rPr>
        <w:t xml:space="preserve"> </w:t>
      </w:r>
    </w:p>
    <w:p w:rsidR="00286891" w:rsidRPr="00680138" w:rsidRDefault="006A266C" w:rsidP="00FA6432">
      <w:pPr>
        <w:numPr>
          <w:ilvl w:val="0"/>
          <w:numId w:val="1"/>
        </w:numPr>
        <w:spacing w:after="0" w:line="240" w:lineRule="auto"/>
        <w:ind w:left="357" w:hanging="360"/>
        <w:rPr>
          <w:sz w:val="20"/>
          <w:szCs w:val="20"/>
        </w:rPr>
      </w:pPr>
      <w:r w:rsidRPr="00680138">
        <w:rPr>
          <w:sz w:val="20"/>
          <w:szCs w:val="20"/>
        </w:rPr>
        <w:t xml:space="preserve">Rejestracja uczestników przystępujących do przetargu oraz przyjmowanie wpłat wadium odbywać się będzie do dnia przetargu w siedzibie BdPN w </w:t>
      </w:r>
      <w:r w:rsidRPr="00680138">
        <w:rPr>
          <w:color w:val="auto"/>
          <w:sz w:val="20"/>
          <w:szCs w:val="20"/>
        </w:rPr>
        <w:t xml:space="preserve">Ustrzykach Górnych do godziny </w:t>
      </w:r>
      <w:r w:rsidRPr="00680138">
        <w:rPr>
          <w:b/>
          <w:color w:val="auto"/>
          <w:sz w:val="20"/>
          <w:szCs w:val="20"/>
        </w:rPr>
        <w:t>1</w:t>
      </w:r>
      <w:r w:rsidR="00FA6432">
        <w:rPr>
          <w:b/>
          <w:color w:val="auto"/>
          <w:sz w:val="20"/>
          <w:szCs w:val="20"/>
        </w:rPr>
        <w:t>3</w:t>
      </w:r>
      <w:r w:rsidRPr="00680138">
        <w:rPr>
          <w:b/>
          <w:color w:val="auto"/>
          <w:sz w:val="20"/>
          <w:szCs w:val="20"/>
          <w:vertAlign w:val="superscript"/>
        </w:rPr>
        <w:t>00</w:t>
      </w:r>
      <w:r w:rsidRPr="00680138">
        <w:rPr>
          <w:color w:val="auto"/>
          <w:sz w:val="20"/>
          <w:szCs w:val="20"/>
        </w:rPr>
        <w:t>.</w:t>
      </w: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Zwrot wadium jest możliwy, jeżeli Oferent nie bierze już udziału w żadnej części przetargu i podpisał wszystkie umowy będące następstwem wygranych postępowań. </w:t>
      </w:r>
    </w:p>
    <w:p w:rsidR="00286891" w:rsidRPr="00680138" w:rsidRDefault="006A266C">
      <w:pPr>
        <w:numPr>
          <w:ilvl w:val="0"/>
          <w:numId w:val="1"/>
        </w:numPr>
        <w:ind w:hanging="360"/>
        <w:rPr>
          <w:sz w:val="20"/>
          <w:szCs w:val="20"/>
        </w:rPr>
      </w:pPr>
      <w:r w:rsidRPr="00680138">
        <w:rPr>
          <w:sz w:val="20"/>
          <w:szCs w:val="20"/>
        </w:rPr>
        <w:t xml:space="preserve">Na pisemny wniosek Oferenta wadium może zostać zatrzymane na poczet przyszłych przetargów. </w:t>
      </w:r>
    </w:p>
    <w:p w:rsidR="00286891" w:rsidRPr="00680138" w:rsidRDefault="006A266C">
      <w:pPr>
        <w:numPr>
          <w:ilvl w:val="0"/>
          <w:numId w:val="1"/>
        </w:numPr>
        <w:ind w:hanging="360"/>
        <w:rPr>
          <w:sz w:val="20"/>
          <w:szCs w:val="20"/>
        </w:rPr>
      </w:pPr>
      <w:r w:rsidRPr="00680138">
        <w:rPr>
          <w:sz w:val="20"/>
          <w:szCs w:val="20"/>
        </w:rPr>
        <w:t xml:space="preserve">Z każdej procedury sprzedaży drewna wykluczeni zostają Oferenci, którzy są dłużnikami Bieszczadzkiego Parku Narodowego. W uzasadnionych przypadkach Dyrektor BdPN zastrzega sobie prawo sprzedaży drewna dłużnikowi, po złożeniu przez niego pisemnego wniosku wraz z uzasadnieniem. </w:t>
      </w:r>
    </w:p>
    <w:p w:rsidR="00286891" w:rsidRPr="00680138" w:rsidRDefault="006A266C">
      <w:pPr>
        <w:numPr>
          <w:ilvl w:val="0"/>
          <w:numId w:val="1"/>
        </w:numPr>
        <w:ind w:hanging="360"/>
        <w:rPr>
          <w:sz w:val="20"/>
          <w:szCs w:val="20"/>
        </w:rPr>
      </w:pPr>
      <w:r w:rsidRPr="00680138">
        <w:rPr>
          <w:sz w:val="20"/>
          <w:szCs w:val="20"/>
        </w:rPr>
        <w:t xml:space="preserve">Przedmiotem przetargu jest pula drewna podzielona na grupy handlowo-gatunkowe o wielkościach określonych w załączniku nr 1 do niniejszego przetargu. </w:t>
      </w:r>
    </w:p>
    <w:p w:rsidR="00286891" w:rsidRPr="00680138" w:rsidRDefault="006A266C">
      <w:pPr>
        <w:numPr>
          <w:ilvl w:val="0"/>
          <w:numId w:val="1"/>
        </w:numPr>
        <w:ind w:hanging="360"/>
        <w:rPr>
          <w:sz w:val="20"/>
          <w:szCs w:val="20"/>
        </w:rPr>
      </w:pPr>
      <w:r w:rsidRPr="00680138">
        <w:rPr>
          <w:sz w:val="20"/>
          <w:szCs w:val="20"/>
        </w:rPr>
        <w:t xml:space="preserve">Oferenci przyjmują do wiadomości, iż dokładna struktura klas jakościowo-wymiarowych dla części przetargu obejmujących więcej niż jedną klasę jakościowo-wymiarową pozostaje w dniu przetargu nieznana. Przedmiot sprzedaży obejmuje wszystkie klasy, których udział został określony, zaś szczegółowa wartość przedmiotu sprzedaży zostanie określona po </w:t>
      </w:r>
      <w:proofErr w:type="spellStart"/>
      <w:r w:rsidRPr="00680138">
        <w:rPr>
          <w:sz w:val="20"/>
          <w:szCs w:val="20"/>
        </w:rPr>
        <w:t>odbiórce</w:t>
      </w:r>
      <w:proofErr w:type="spellEnd"/>
      <w:r w:rsidRPr="00680138">
        <w:rPr>
          <w:sz w:val="20"/>
          <w:szCs w:val="20"/>
        </w:rPr>
        <w:t xml:space="preserve"> pozyskanego drewna. </w:t>
      </w:r>
    </w:p>
    <w:p w:rsidR="00286891" w:rsidRPr="00680138" w:rsidRDefault="006A266C">
      <w:pPr>
        <w:numPr>
          <w:ilvl w:val="0"/>
          <w:numId w:val="1"/>
        </w:numPr>
        <w:spacing w:after="16" w:line="242" w:lineRule="auto"/>
        <w:ind w:hanging="360"/>
        <w:rPr>
          <w:color w:val="auto"/>
          <w:sz w:val="20"/>
          <w:szCs w:val="20"/>
        </w:rPr>
      </w:pPr>
      <w:r w:rsidRPr="00680138">
        <w:rPr>
          <w:sz w:val="20"/>
          <w:szCs w:val="20"/>
        </w:rPr>
        <w:t xml:space="preserve">W przypadku części przetargu, których przedmiotem są grupy handlowe cenę wyjściową określono dla WC0 o najniższej klasie grubości. Dla pozostałych klas jakościowo-wymiarowych zostaną one określone automatycznie w oparciu o przeliczniki określone w tabeli stanowiącej załącznik nr 2 do niniejszego przetargu. Przykładowo: </w:t>
      </w:r>
      <w:r w:rsidRPr="00680138">
        <w:rPr>
          <w:i/>
          <w:sz w:val="20"/>
          <w:szCs w:val="20"/>
        </w:rPr>
        <w:t xml:space="preserve">przedmiotem przetargu jest grupa Św W (standard). </w:t>
      </w:r>
      <w:r w:rsidRPr="00680138">
        <w:rPr>
          <w:i/>
          <w:color w:val="auto"/>
          <w:sz w:val="20"/>
          <w:szCs w:val="20"/>
        </w:rPr>
        <w:t>Cena wyjściowa określona została na poziomie 185 zł za m</w:t>
      </w:r>
      <w:r w:rsidRPr="00680138">
        <w:rPr>
          <w:i/>
          <w:color w:val="auto"/>
          <w:sz w:val="20"/>
          <w:szCs w:val="20"/>
          <w:vertAlign w:val="superscript"/>
        </w:rPr>
        <w:t>3</w:t>
      </w:r>
      <w:r w:rsidRPr="00680138">
        <w:rPr>
          <w:i/>
          <w:color w:val="auto"/>
          <w:sz w:val="20"/>
          <w:szCs w:val="20"/>
        </w:rPr>
        <w:t>, cena ta dotyczy drewna Św WC0 w 1 klasie grubości. Aby określić cenę drewna w 2 i 3 klasie grubości należy cenę wyjściową dla WC01 przemnożyć przez współczynniki 1, 164 (dla klasy 2) i 1, 31</w:t>
      </w:r>
      <w:r w:rsidR="004E2F1D">
        <w:rPr>
          <w:i/>
          <w:color w:val="auto"/>
          <w:sz w:val="20"/>
          <w:szCs w:val="20"/>
        </w:rPr>
        <w:t>3</w:t>
      </w:r>
      <w:r w:rsidRPr="00680138">
        <w:rPr>
          <w:i/>
          <w:color w:val="auto"/>
          <w:sz w:val="20"/>
          <w:szCs w:val="20"/>
        </w:rPr>
        <w:t xml:space="preserve"> (dla klasy 3) - ustalone i przedstawione w załączniku nr 2 do przetargu (ostatnia kolumna)</w:t>
      </w:r>
      <w:r w:rsidRPr="00680138">
        <w:rPr>
          <w:color w:val="auto"/>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Na daną grupę handlowo-gatunkową obowiązują jednolite normy techniczne. </w:t>
      </w:r>
    </w:p>
    <w:p w:rsidR="00286891" w:rsidRPr="00680138" w:rsidRDefault="006A266C">
      <w:pPr>
        <w:numPr>
          <w:ilvl w:val="0"/>
          <w:numId w:val="1"/>
        </w:numPr>
        <w:ind w:hanging="360"/>
        <w:rPr>
          <w:sz w:val="20"/>
          <w:szCs w:val="20"/>
        </w:rPr>
      </w:pPr>
      <w:r w:rsidRPr="00680138">
        <w:rPr>
          <w:sz w:val="20"/>
          <w:szCs w:val="20"/>
        </w:rPr>
        <w:t xml:space="preserve">Surowiec będący przedmiotem sprzedaży jest zgodny z normami: </w:t>
      </w:r>
    </w:p>
    <w:p w:rsidR="00286891" w:rsidRPr="00680138" w:rsidRDefault="006A266C">
      <w:pPr>
        <w:numPr>
          <w:ilvl w:val="1"/>
          <w:numId w:val="1"/>
        </w:numPr>
        <w:ind w:hanging="360"/>
        <w:rPr>
          <w:sz w:val="20"/>
          <w:szCs w:val="20"/>
        </w:rPr>
      </w:pPr>
      <w:r w:rsidRPr="00680138">
        <w:rPr>
          <w:sz w:val="20"/>
          <w:szCs w:val="20"/>
        </w:rPr>
        <w:t xml:space="preserve">PN 92/D-95008 „Surowiec drzewny. Drewno wielkowymiarowe liściaste”, </w:t>
      </w:r>
    </w:p>
    <w:p w:rsidR="00286891" w:rsidRPr="00680138" w:rsidRDefault="006A266C">
      <w:pPr>
        <w:numPr>
          <w:ilvl w:val="1"/>
          <w:numId w:val="1"/>
        </w:numPr>
        <w:ind w:hanging="360"/>
        <w:rPr>
          <w:sz w:val="20"/>
          <w:szCs w:val="20"/>
        </w:rPr>
      </w:pPr>
      <w:r w:rsidRPr="00680138">
        <w:rPr>
          <w:sz w:val="20"/>
          <w:szCs w:val="20"/>
        </w:rPr>
        <w:t xml:space="preserve">PN91/D-05018 Surowiec drzewny. Drewno średniowymiarowe”, </w:t>
      </w:r>
    </w:p>
    <w:p w:rsidR="00286891" w:rsidRPr="00680138" w:rsidRDefault="006A266C">
      <w:pPr>
        <w:numPr>
          <w:ilvl w:val="1"/>
          <w:numId w:val="1"/>
        </w:numPr>
        <w:ind w:hanging="360"/>
        <w:rPr>
          <w:sz w:val="20"/>
          <w:szCs w:val="20"/>
        </w:rPr>
      </w:pPr>
      <w:r w:rsidRPr="00680138">
        <w:rPr>
          <w:sz w:val="20"/>
          <w:szCs w:val="20"/>
        </w:rPr>
        <w:t xml:space="preserve">„Warunki techniczne drewno wielkowymiarowe iglaste.” wprowadzone Zarządzeniem nr 47 Dyrektora Generalnego Lasów Państwowych z dnia 31 maja 2002 r. </w:t>
      </w:r>
    </w:p>
    <w:p w:rsidR="00286891" w:rsidRPr="00680138" w:rsidRDefault="006A266C">
      <w:pPr>
        <w:numPr>
          <w:ilvl w:val="1"/>
          <w:numId w:val="1"/>
        </w:numPr>
        <w:ind w:hanging="360"/>
        <w:rPr>
          <w:sz w:val="20"/>
          <w:szCs w:val="20"/>
        </w:rPr>
      </w:pPr>
      <w:r w:rsidRPr="00680138">
        <w:rPr>
          <w:sz w:val="20"/>
          <w:szCs w:val="20"/>
        </w:rPr>
        <w:t xml:space="preserve">PN93/D-02002 ”Surowiec drzewny. Podział terminologia i symbole” </w:t>
      </w:r>
    </w:p>
    <w:p w:rsidR="00286891" w:rsidRPr="00680138" w:rsidRDefault="006A266C">
      <w:pPr>
        <w:numPr>
          <w:ilvl w:val="1"/>
          <w:numId w:val="1"/>
        </w:numPr>
        <w:ind w:hanging="360"/>
        <w:rPr>
          <w:sz w:val="20"/>
          <w:szCs w:val="20"/>
        </w:rPr>
      </w:pPr>
      <w:r w:rsidRPr="00680138">
        <w:rPr>
          <w:sz w:val="20"/>
          <w:szCs w:val="20"/>
        </w:rPr>
        <w:t xml:space="preserve">PN93/D-95000 „Surowiec drzewny. Pomiar obliczanie miąższości i cechowanie” </w:t>
      </w:r>
    </w:p>
    <w:p w:rsidR="00286891" w:rsidRPr="00680138" w:rsidRDefault="006A266C">
      <w:pPr>
        <w:numPr>
          <w:ilvl w:val="1"/>
          <w:numId w:val="1"/>
        </w:numPr>
        <w:ind w:hanging="360"/>
        <w:rPr>
          <w:sz w:val="20"/>
          <w:szCs w:val="20"/>
        </w:rPr>
      </w:pPr>
      <w:r w:rsidRPr="00680138">
        <w:rPr>
          <w:sz w:val="20"/>
          <w:szCs w:val="20"/>
        </w:rPr>
        <w:t xml:space="preserve">PN-79/D-01011 „Drewno okrągłe. Wady.” </w:t>
      </w:r>
    </w:p>
    <w:p w:rsidR="00286891" w:rsidRPr="00680138" w:rsidRDefault="006A266C">
      <w:pPr>
        <w:numPr>
          <w:ilvl w:val="0"/>
          <w:numId w:val="1"/>
        </w:numPr>
        <w:ind w:hanging="360"/>
        <w:rPr>
          <w:sz w:val="20"/>
          <w:szCs w:val="20"/>
        </w:rPr>
      </w:pPr>
      <w:r w:rsidRPr="00680138">
        <w:rPr>
          <w:sz w:val="20"/>
          <w:szCs w:val="20"/>
        </w:rPr>
        <w:t>Oferowana cena dotyczy 1 m</w:t>
      </w:r>
      <w:r w:rsidRPr="00680138">
        <w:rPr>
          <w:sz w:val="20"/>
          <w:szCs w:val="20"/>
          <w:vertAlign w:val="superscript"/>
        </w:rPr>
        <w:t>3</w:t>
      </w:r>
      <w:r w:rsidRPr="00680138">
        <w:rPr>
          <w:sz w:val="20"/>
          <w:szCs w:val="20"/>
        </w:rPr>
        <w:t xml:space="preserve"> drewna, jest to cena netto (bez VAT) w klasie WC0 1. Cena pozostałych klas jakościowo – wymiarowych określana jest na podstawie przeliczników określonych w załączniku nr 2 do niniejszego przetargu. </w:t>
      </w:r>
    </w:p>
    <w:p w:rsidR="00286891" w:rsidRPr="00680138" w:rsidRDefault="006A266C">
      <w:pPr>
        <w:numPr>
          <w:ilvl w:val="0"/>
          <w:numId w:val="1"/>
        </w:numPr>
        <w:ind w:hanging="360"/>
        <w:rPr>
          <w:sz w:val="20"/>
          <w:szCs w:val="20"/>
        </w:rPr>
      </w:pPr>
      <w:r w:rsidRPr="00680138">
        <w:rPr>
          <w:sz w:val="20"/>
          <w:szCs w:val="20"/>
        </w:rPr>
        <w:t xml:space="preserve">Uczestnicy przetargu mogą oferować ceny równe lub wyższe od cen wyjściowych podanych w załączniku nr 2 do niniejszego przetargu. </w:t>
      </w:r>
    </w:p>
    <w:p w:rsidR="00286891" w:rsidRPr="00680138" w:rsidRDefault="006A266C">
      <w:pPr>
        <w:numPr>
          <w:ilvl w:val="0"/>
          <w:numId w:val="1"/>
        </w:numPr>
        <w:ind w:hanging="360"/>
        <w:rPr>
          <w:color w:val="auto"/>
          <w:sz w:val="20"/>
          <w:szCs w:val="20"/>
        </w:rPr>
      </w:pPr>
      <w:r w:rsidRPr="00680138">
        <w:rPr>
          <w:sz w:val="20"/>
          <w:szCs w:val="20"/>
        </w:rPr>
        <w:t xml:space="preserve">Oferenci swoją ofertę składają na piśmie z użyciem formularza stanowiącego załącznik nr 1 do niniejszych Regulaminu przetargu. Oferta składana jest w zamkniętej kopercie, opisanej słowami </w:t>
      </w:r>
      <w:r w:rsidR="00BE6B4A" w:rsidRPr="00FA6432">
        <w:rPr>
          <w:b/>
          <w:color w:val="auto"/>
          <w:sz w:val="20"/>
          <w:szCs w:val="20"/>
        </w:rPr>
        <w:t>„</w:t>
      </w:r>
      <w:r w:rsidR="00BE6B4A" w:rsidRPr="00FA6432">
        <w:rPr>
          <w:color w:val="auto"/>
          <w:sz w:val="20"/>
          <w:szCs w:val="20"/>
          <w:u w:val="single"/>
        </w:rPr>
        <w:t>Sprzedaż drewna w</w:t>
      </w:r>
      <w:r w:rsidR="007974EA">
        <w:rPr>
          <w:color w:val="auto"/>
          <w:sz w:val="20"/>
          <w:szCs w:val="20"/>
          <w:u w:val="single"/>
        </w:rPr>
        <w:t> </w:t>
      </w:r>
      <w:r w:rsidR="00BE6B4A" w:rsidRPr="00FA6432">
        <w:rPr>
          <w:color w:val="auto"/>
          <w:sz w:val="20"/>
          <w:szCs w:val="20"/>
          <w:u w:val="single"/>
        </w:rPr>
        <w:t xml:space="preserve">BdPN </w:t>
      </w:r>
      <w:r w:rsidR="00C87DC9">
        <w:rPr>
          <w:color w:val="auto"/>
          <w:sz w:val="20"/>
          <w:szCs w:val="20"/>
          <w:u w:val="single"/>
        </w:rPr>
        <w:t>–</w:t>
      </w:r>
      <w:r w:rsidR="00BE6B4A" w:rsidRPr="00FA6432">
        <w:rPr>
          <w:color w:val="auto"/>
          <w:sz w:val="20"/>
          <w:szCs w:val="20"/>
          <w:u w:val="single"/>
        </w:rPr>
        <w:t xml:space="preserve"> </w:t>
      </w:r>
      <w:r w:rsidR="007974EA">
        <w:rPr>
          <w:color w:val="auto"/>
          <w:sz w:val="20"/>
          <w:szCs w:val="20"/>
          <w:u w:val="single"/>
        </w:rPr>
        <w:t>6 maja</w:t>
      </w:r>
      <w:r w:rsidR="00C87DC9">
        <w:rPr>
          <w:color w:val="auto"/>
          <w:sz w:val="20"/>
          <w:szCs w:val="20"/>
          <w:u w:val="single"/>
        </w:rPr>
        <w:t xml:space="preserve"> 2019</w:t>
      </w:r>
      <w:r w:rsidR="00BE6B4A" w:rsidRPr="00FA6432">
        <w:rPr>
          <w:color w:val="auto"/>
          <w:sz w:val="20"/>
          <w:szCs w:val="20"/>
          <w:u w:val="single"/>
        </w:rPr>
        <w:t xml:space="preserve"> roku</w:t>
      </w:r>
      <w:r w:rsidR="00BE6B4A" w:rsidRPr="00FA6432">
        <w:rPr>
          <w:b/>
          <w:color w:val="auto"/>
          <w:sz w:val="20"/>
          <w:szCs w:val="20"/>
        </w:rPr>
        <w:t>”</w:t>
      </w:r>
      <w:r w:rsidRPr="00680138">
        <w:rPr>
          <w:color w:val="auto"/>
          <w:sz w:val="20"/>
          <w:szCs w:val="20"/>
        </w:rPr>
        <w:t xml:space="preserve">. Ofertę należy złożyć w sekretariacie BdPN. </w:t>
      </w:r>
    </w:p>
    <w:p w:rsidR="00286891" w:rsidRPr="00680138" w:rsidRDefault="006A266C">
      <w:pPr>
        <w:numPr>
          <w:ilvl w:val="0"/>
          <w:numId w:val="1"/>
        </w:numPr>
        <w:ind w:hanging="360"/>
        <w:rPr>
          <w:color w:val="auto"/>
          <w:sz w:val="20"/>
          <w:szCs w:val="20"/>
        </w:rPr>
      </w:pPr>
      <w:r w:rsidRPr="00680138">
        <w:rPr>
          <w:sz w:val="20"/>
          <w:szCs w:val="20"/>
        </w:rPr>
        <w:lastRenderedPageBreak/>
        <w:t xml:space="preserve">BdPN dopuszcza przesłanie oferty drogą elektroniczną (e-mailem lub faksem). Oferta przesłana drogą elektroniczną jest umieszczana przez pracownika sekretariatu w zamkniętej kopercie z oznaczeniem </w:t>
      </w:r>
      <w:r w:rsidR="00FA6432" w:rsidRPr="00FA6432">
        <w:rPr>
          <w:b/>
          <w:color w:val="auto"/>
          <w:sz w:val="20"/>
          <w:szCs w:val="20"/>
        </w:rPr>
        <w:t>„</w:t>
      </w:r>
      <w:r w:rsidR="00C87DC9" w:rsidRPr="00C87DC9">
        <w:rPr>
          <w:color w:val="auto"/>
          <w:sz w:val="20"/>
          <w:szCs w:val="20"/>
          <w:u w:val="single"/>
        </w:rPr>
        <w:t xml:space="preserve">Sprzedaż drewna w BdPN – </w:t>
      </w:r>
      <w:r w:rsidR="007974EA">
        <w:rPr>
          <w:color w:val="auto"/>
          <w:sz w:val="20"/>
          <w:szCs w:val="20"/>
          <w:u w:val="single"/>
        </w:rPr>
        <w:t>6 maja</w:t>
      </w:r>
      <w:r w:rsidR="00C87DC9" w:rsidRPr="00C87DC9">
        <w:rPr>
          <w:color w:val="auto"/>
          <w:sz w:val="20"/>
          <w:szCs w:val="20"/>
          <w:u w:val="single"/>
        </w:rPr>
        <w:t xml:space="preserve"> </w:t>
      </w:r>
      <w:bookmarkStart w:id="0" w:name="_GoBack"/>
      <w:bookmarkEnd w:id="0"/>
      <w:r w:rsidR="00C87DC9" w:rsidRPr="00C87DC9">
        <w:rPr>
          <w:color w:val="auto"/>
          <w:sz w:val="20"/>
          <w:szCs w:val="20"/>
          <w:u w:val="single"/>
        </w:rPr>
        <w:t>2019 roku</w:t>
      </w:r>
      <w:r w:rsidR="00FA6432" w:rsidRPr="00FA6432">
        <w:rPr>
          <w:b/>
          <w:color w:val="auto"/>
          <w:sz w:val="20"/>
          <w:szCs w:val="20"/>
        </w:rPr>
        <w:t xml:space="preserve">” </w:t>
      </w:r>
      <w:r w:rsidRPr="00680138">
        <w:rPr>
          <w:color w:val="auto"/>
          <w:sz w:val="20"/>
          <w:szCs w:val="20"/>
        </w:rPr>
        <w:t xml:space="preserve">oraz datą i godziną wpływu. </w:t>
      </w:r>
    </w:p>
    <w:p w:rsidR="00286891" w:rsidRPr="00680138" w:rsidRDefault="006A266C">
      <w:pPr>
        <w:numPr>
          <w:ilvl w:val="0"/>
          <w:numId w:val="1"/>
        </w:numPr>
        <w:ind w:hanging="360"/>
        <w:rPr>
          <w:sz w:val="20"/>
          <w:szCs w:val="20"/>
        </w:rPr>
      </w:pPr>
      <w:r w:rsidRPr="00680138">
        <w:rPr>
          <w:color w:val="auto"/>
          <w:sz w:val="20"/>
          <w:szCs w:val="20"/>
        </w:rPr>
        <w:t>Oferta powinna zawierać dane Oferenta, ilość drewna jaką deklaruje kupić wraz z określeniem grupy handlowo</w:t>
      </w:r>
      <w:r w:rsidRPr="00680138">
        <w:rPr>
          <w:sz w:val="20"/>
          <w:szCs w:val="20"/>
        </w:rPr>
        <w:t xml:space="preserve">-gatunkowej oraz informacją na temat oferowanej ceny. </w:t>
      </w:r>
    </w:p>
    <w:p w:rsidR="00286891" w:rsidRPr="00680138" w:rsidRDefault="006A266C">
      <w:pPr>
        <w:numPr>
          <w:ilvl w:val="0"/>
          <w:numId w:val="1"/>
        </w:numPr>
        <w:ind w:hanging="360"/>
        <w:rPr>
          <w:sz w:val="20"/>
          <w:szCs w:val="20"/>
        </w:rPr>
      </w:pPr>
      <w:r w:rsidRPr="00680138">
        <w:rPr>
          <w:sz w:val="20"/>
          <w:szCs w:val="20"/>
        </w:rPr>
        <w:t xml:space="preserve">Każdy Oferent składa tylko 1 ofertę na daną grupę handlowo-gatunkową. </w:t>
      </w:r>
    </w:p>
    <w:p w:rsidR="00286891" w:rsidRPr="00680138" w:rsidRDefault="006A266C">
      <w:pPr>
        <w:numPr>
          <w:ilvl w:val="0"/>
          <w:numId w:val="1"/>
        </w:numPr>
        <w:ind w:hanging="360"/>
        <w:rPr>
          <w:color w:val="FF0000"/>
          <w:sz w:val="20"/>
          <w:szCs w:val="20"/>
        </w:rPr>
      </w:pPr>
      <w:r w:rsidRPr="00680138">
        <w:rPr>
          <w:color w:val="auto"/>
          <w:sz w:val="20"/>
          <w:szCs w:val="20"/>
        </w:rPr>
        <w:t>Minimalna wielkość zakupu to 30 m</w:t>
      </w:r>
      <w:r w:rsidRPr="00680138">
        <w:rPr>
          <w:color w:val="auto"/>
          <w:sz w:val="20"/>
          <w:szCs w:val="20"/>
          <w:vertAlign w:val="superscript"/>
        </w:rPr>
        <w:t>3</w:t>
      </w:r>
      <w:r w:rsidRPr="00680138">
        <w:rPr>
          <w:color w:val="FF0000"/>
          <w:sz w:val="20"/>
          <w:szCs w:val="20"/>
        </w:rPr>
        <w:t xml:space="preserve">. </w:t>
      </w:r>
    </w:p>
    <w:p w:rsidR="00286891" w:rsidRPr="00680138" w:rsidRDefault="006A266C" w:rsidP="006A266C">
      <w:pPr>
        <w:numPr>
          <w:ilvl w:val="0"/>
          <w:numId w:val="1"/>
        </w:numPr>
        <w:spacing w:after="0" w:line="240" w:lineRule="auto"/>
        <w:ind w:left="357" w:hanging="357"/>
        <w:rPr>
          <w:sz w:val="20"/>
          <w:szCs w:val="20"/>
        </w:rPr>
      </w:pPr>
      <w:r w:rsidRPr="00680138">
        <w:rPr>
          <w:sz w:val="20"/>
          <w:szCs w:val="20"/>
        </w:rPr>
        <w:t xml:space="preserve">Najważniejszym kryterium oceny ofert jest cena zakupu danej grupy handlowo-gatunkowej zadeklarowana przez Oferenta. Wygrywającym jest Oferent, który złożył ofertę zawierającą najwyższą cenę na daną grupę handlowo-gatunkową. W przypadku złożenia przez kilku Oferentów ofert zawierających jednakową cenę w danej grupie handlowo-gatunkowej drugim co do ważności kryterium jest wielkość puli zadeklarowanej do zakupu (pierwszeństwo mają Oferenci deklarujący chęć zakupu większej ilości drewna). Jeżeli złożone oferty mają jednakową cenę oraz wielkość puli zadeklarowanej do zakupu decydującym jest trzecie kryterium -termin wpływu oferty (wszystkie oferty są rejestrowane w dzienniku podawczym BdPN). Kryteria drugiego i trzeciego rzędu są brane pod uwagę tylko jeżeli oferty mają jednakową wartość kryteriów odpowiednio pierwszego lub drugiego. </w:t>
      </w:r>
    </w:p>
    <w:p w:rsidR="00286891" w:rsidRPr="00680138" w:rsidRDefault="006A266C" w:rsidP="006A266C">
      <w:pPr>
        <w:numPr>
          <w:ilvl w:val="0"/>
          <w:numId w:val="1"/>
        </w:numPr>
        <w:spacing w:after="0" w:line="240" w:lineRule="auto"/>
        <w:ind w:left="357" w:hanging="357"/>
        <w:rPr>
          <w:sz w:val="20"/>
          <w:szCs w:val="20"/>
        </w:rPr>
      </w:pPr>
      <w:r w:rsidRPr="00680138">
        <w:rPr>
          <w:sz w:val="20"/>
          <w:szCs w:val="20"/>
        </w:rPr>
        <w:t xml:space="preserve">Jeżeli w drodze przetargu nie sprzedano całej wystawionej na sprzedaż puli drewna z danej grupy </w:t>
      </w:r>
      <w:r w:rsidR="009D3AE6" w:rsidRPr="00680138">
        <w:rPr>
          <w:sz w:val="20"/>
          <w:szCs w:val="20"/>
        </w:rPr>
        <w:t>handlowo gatunkowej</w:t>
      </w:r>
      <w:r w:rsidRPr="00680138">
        <w:rPr>
          <w:sz w:val="20"/>
          <w:szCs w:val="20"/>
        </w:rPr>
        <w:t xml:space="preserve">, pozostała jej część jest przeznaczana do sprzedaży na podstawie cennika ustalonego po zakończeniu procedury przetargu. W takim wypadku pierwszeństwo zakupu mają uczestnicy danego przetargu na zasadzie jednakowej jak dla oceny ofert w przetargu (pkt. 23 regulaminu) tzn. Oferent, który deklarował drugą cenę zakupu za daną grupę handlowo-gatunkową ma prawo pierwokupu po cenie ustalonej z cennika. </w:t>
      </w:r>
    </w:p>
    <w:p w:rsidR="00286891" w:rsidRPr="00680138" w:rsidRDefault="006A266C">
      <w:pPr>
        <w:numPr>
          <w:ilvl w:val="0"/>
          <w:numId w:val="1"/>
        </w:numPr>
        <w:ind w:hanging="360"/>
        <w:rPr>
          <w:sz w:val="20"/>
          <w:szCs w:val="20"/>
        </w:rPr>
      </w:pPr>
      <w:r w:rsidRPr="00680138">
        <w:rPr>
          <w:sz w:val="20"/>
          <w:szCs w:val="20"/>
        </w:rPr>
        <w:t xml:space="preserve">Wycofanie złożonej oferty skutkuje utratą wadium. </w:t>
      </w:r>
    </w:p>
    <w:p w:rsidR="00286891" w:rsidRPr="00680138" w:rsidRDefault="006A266C">
      <w:pPr>
        <w:numPr>
          <w:ilvl w:val="0"/>
          <w:numId w:val="1"/>
        </w:numPr>
        <w:ind w:hanging="360"/>
        <w:rPr>
          <w:sz w:val="20"/>
          <w:szCs w:val="20"/>
        </w:rPr>
      </w:pPr>
      <w:r w:rsidRPr="00680138">
        <w:rPr>
          <w:sz w:val="20"/>
          <w:szCs w:val="20"/>
        </w:rPr>
        <w:t xml:space="preserve">Brak jest możliwości zmiany złożonej oferty. </w:t>
      </w:r>
    </w:p>
    <w:p w:rsidR="00286891" w:rsidRPr="00680138" w:rsidRDefault="006A266C">
      <w:pPr>
        <w:numPr>
          <w:ilvl w:val="0"/>
          <w:numId w:val="1"/>
        </w:numPr>
        <w:ind w:hanging="360"/>
        <w:rPr>
          <w:sz w:val="20"/>
          <w:szCs w:val="20"/>
        </w:rPr>
      </w:pPr>
      <w:r w:rsidRPr="00680138">
        <w:rPr>
          <w:sz w:val="20"/>
          <w:szCs w:val="20"/>
        </w:rPr>
        <w:t xml:space="preserve">Po zakończeniu wszystkich części przetargu Oferenci, którzy wygrali przetarg bez zbędnej zwłoki przystępują do spisania z BdPN umowy na zakup drewna będącego przedmiotem przetargu. Umowa ta powinna być podpisana w dniu rozstrzygnięcia przetargu. </w:t>
      </w:r>
    </w:p>
    <w:p w:rsidR="00286891" w:rsidRPr="00680138" w:rsidRDefault="006A266C">
      <w:pPr>
        <w:numPr>
          <w:ilvl w:val="0"/>
          <w:numId w:val="1"/>
        </w:numPr>
        <w:ind w:hanging="360"/>
        <w:rPr>
          <w:sz w:val="20"/>
          <w:szCs w:val="20"/>
        </w:rPr>
      </w:pPr>
      <w:r w:rsidRPr="00680138">
        <w:rPr>
          <w:sz w:val="20"/>
          <w:szCs w:val="20"/>
        </w:rPr>
        <w:t xml:space="preserve">Uchylanie się od podpisania w/w umowy skutkować będzie unieważnieniem tej części przetargu oraz utratą wadium wpłaconego przez Oferenta. </w:t>
      </w:r>
    </w:p>
    <w:p w:rsidR="00286891" w:rsidRPr="00680138" w:rsidRDefault="006A266C">
      <w:pPr>
        <w:numPr>
          <w:ilvl w:val="0"/>
          <w:numId w:val="1"/>
        </w:numPr>
        <w:ind w:hanging="360"/>
        <w:rPr>
          <w:sz w:val="20"/>
          <w:szCs w:val="20"/>
        </w:rPr>
      </w:pPr>
      <w:r w:rsidRPr="00680138">
        <w:rPr>
          <w:sz w:val="20"/>
          <w:szCs w:val="20"/>
        </w:rPr>
        <w:t xml:space="preserve">BdPN zastrzega sobie prawo do zmiany regulaminu przetargu, informacja o jego zmianie zostanie zamieszczona na stronie internetowej BdPN oraz podana przed rozpoczęciem przetargu. </w:t>
      </w:r>
    </w:p>
    <w:p w:rsidR="00286891" w:rsidRPr="00680138" w:rsidRDefault="006A266C">
      <w:pPr>
        <w:numPr>
          <w:ilvl w:val="0"/>
          <w:numId w:val="1"/>
        </w:numPr>
        <w:ind w:hanging="360"/>
        <w:rPr>
          <w:sz w:val="20"/>
          <w:szCs w:val="20"/>
        </w:rPr>
      </w:pPr>
      <w:r w:rsidRPr="00680138">
        <w:rPr>
          <w:sz w:val="20"/>
          <w:szCs w:val="20"/>
        </w:rPr>
        <w:t xml:space="preserve">BdPN zastrzega sobie prawo do unieważnienia części lub całości przetargu z ważnego powodu. Informacja o powodach unieważnienia przekazywana jest do wszystkich uczestników przetargu oraz zamieszczana jest na stronie internetowej BdPN. </w:t>
      </w:r>
    </w:p>
    <w:p w:rsidR="00286891" w:rsidRPr="00680138" w:rsidRDefault="006A266C">
      <w:pPr>
        <w:numPr>
          <w:ilvl w:val="0"/>
          <w:numId w:val="1"/>
        </w:numPr>
        <w:ind w:hanging="360"/>
        <w:rPr>
          <w:sz w:val="20"/>
          <w:szCs w:val="20"/>
        </w:rPr>
      </w:pPr>
      <w:r w:rsidRPr="00680138">
        <w:rPr>
          <w:sz w:val="20"/>
          <w:szCs w:val="20"/>
        </w:rPr>
        <w:t>Pytania w sprawie sprzedaży drewna: od poniedziałku do piątku w godzinach od 8</w:t>
      </w:r>
      <w:r w:rsidRPr="00FA6432">
        <w:rPr>
          <w:sz w:val="20"/>
          <w:szCs w:val="20"/>
          <w:vertAlign w:val="superscript"/>
        </w:rPr>
        <w:t>00</w:t>
      </w:r>
      <w:r w:rsidRPr="00680138">
        <w:rPr>
          <w:sz w:val="20"/>
          <w:szCs w:val="20"/>
        </w:rPr>
        <w:t xml:space="preserve"> do 14</w:t>
      </w:r>
      <w:r w:rsidRPr="00FA6432">
        <w:rPr>
          <w:sz w:val="20"/>
          <w:szCs w:val="20"/>
          <w:vertAlign w:val="superscript"/>
        </w:rPr>
        <w:t>00</w:t>
      </w:r>
      <w:r w:rsidRPr="00680138">
        <w:rPr>
          <w:sz w:val="20"/>
          <w:szCs w:val="20"/>
        </w:rPr>
        <w:t xml:space="preserve">. Osobą uprawnionymi do kontaktu jest: </w:t>
      </w:r>
      <w:r w:rsidR="00FA6432" w:rsidRPr="00FA6432">
        <w:rPr>
          <w:sz w:val="20"/>
          <w:szCs w:val="20"/>
        </w:rPr>
        <w:t xml:space="preserve">Leopold Bekier </w:t>
      </w:r>
      <w:r w:rsidRPr="00680138">
        <w:rPr>
          <w:sz w:val="20"/>
          <w:szCs w:val="20"/>
        </w:rPr>
        <w:t xml:space="preserve">– </w:t>
      </w:r>
      <w:proofErr w:type="spellStart"/>
      <w:r w:rsidRPr="00680138">
        <w:rPr>
          <w:sz w:val="20"/>
          <w:szCs w:val="20"/>
        </w:rPr>
        <w:t>tel</w:t>
      </w:r>
      <w:proofErr w:type="spellEnd"/>
      <w:r w:rsidRPr="00680138">
        <w:rPr>
          <w:sz w:val="20"/>
          <w:szCs w:val="20"/>
        </w:rPr>
        <w:t>/fax: (13) 461 06 10; kom.: 724</w:t>
      </w:r>
      <w:r w:rsidR="00FA6432">
        <w:rPr>
          <w:sz w:val="20"/>
          <w:szCs w:val="20"/>
        </w:rPr>
        <w:t> </w:t>
      </w:r>
      <w:r w:rsidRPr="00680138">
        <w:rPr>
          <w:sz w:val="20"/>
          <w:szCs w:val="20"/>
        </w:rPr>
        <w:t>750</w:t>
      </w:r>
      <w:r w:rsidR="00FA6432">
        <w:rPr>
          <w:sz w:val="20"/>
          <w:szCs w:val="20"/>
        </w:rPr>
        <w:t xml:space="preserve"> </w:t>
      </w:r>
      <w:r w:rsidRPr="00680138">
        <w:rPr>
          <w:sz w:val="20"/>
          <w:szCs w:val="20"/>
        </w:rPr>
        <w:t>0</w:t>
      </w:r>
      <w:r w:rsidR="00FA6432">
        <w:rPr>
          <w:sz w:val="20"/>
          <w:szCs w:val="20"/>
        </w:rPr>
        <w:t>94</w:t>
      </w: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Drewno oznaczone w opisie jako „w trakcie pozyskania” należy odbierać sukcesywnie, w przeciągu 6 dni od dnia poinformowania przez Sprzedającego o gotowości do wywozu. </w:t>
      </w:r>
    </w:p>
    <w:p w:rsidR="00286891" w:rsidRPr="00680138" w:rsidRDefault="006A266C">
      <w:pPr>
        <w:spacing w:after="0" w:line="259" w:lineRule="auto"/>
        <w:ind w:left="0" w:firstLine="0"/>
        <w:jc w:val="left"/>
        <w:rPr>
          <w:sz w:val="20"/>
          <w:szCs w:val="20"/>
        </w:rPr>
      </w:pPr>
      <w:r w:rsidRPr="00680138">
        <w:rPr>
          <w:sz w:val="20"/>
          <w:szCs w:val="20"/>
        </w:rPr>
        <w:t xml:space="preserve"> </w:t>
      </w:r>
    </w:p>
    <w:p w:rsidR="00286891" w:rsidRPr="00680138" w:rsidRDefault="006A266C">
      <w:pPr>
        <w:spacing w:after="0" w:line="259" w:lineRule="auto"/>
        <w:ind w:left="45" w:firstLine="0"/>
        <w:jc w:val="center"/>
        <w:rPr>
          <w:sz w:val="20"/>
          <w:szCs w:val="20"/>
        </w:rPr>
      </w:pPr>
      <w:r w:rsidRPr="00680138">
        <w:rPr>
          <w:sz w:val="20"/>
          <w:szCs w:val="20"/>
        </w:rPr>
        <w:t xml:space="preserve"> </w:t>
      </w:r>
    </w:p>
    <w:p w:rsidR="00286891" w:rsidRPr="00680138" w:rsidRDefault="006A266C">
      <w:pPr>
        <w:spacing w:after="0" w:line="240" w:lineRule="auto"/>
        <w:ind w:left="227" w:right="3367" w:firstLine="0"/>
        <w:jc w:val="left"/>
        <w:rPr>
          <w:sz w:val="20"/>
          <w:szCs w:val="20"/>
        </w:rPr>
      </w:pPr>
      <w:r w:rsidRPr="00680138">
        <w:rPr>
          <w:i/>
          <w:sz w:val="20"/>
          <w:szCs w:val="20"/>
        </w:rPr>
        <w:t xml:space="preserve"> </w:t>
      </w:r>
      <w:r w:rsidRPr="00680138">
        <w:rPr>
          <w:sz w:val="20"/>
          <w:szCs w:val="20"/>
        </w:rPr>
        <w:t xml:space="preserve"> </w:t>
      </w:r>
    </w:p>
    <w:sectPr w:rsidR="00286891" w:rsidRPr="00680138" w:rsidSect="005232FF">
      <w:pgSz w:w="11906" w:h="16838"/>
      <w:pgMar w:top="1440" w:right="1080" w:bottom="1440" w:left="1080"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06E26"/>
    <w:multiLevelType w:val="hybridMultilevel"/>
    <w:tmpl w:val="CE0EA44C"/>
    <w:lvl w:ilvl="0" w:tplc="73A87E2E">
      <w:start w:val="1"/>
      <w:numFmt w:val="decimal"/>
      <w:lvlText w:val="%1."/>
      <w:lvlJc w:val="left"/>
      <w:pPr>
        <w:ind w:left="3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1" w:tplc="08061566">
      <w:start w:val="1"/>
      <w:numFmt w:val="lowerLetter"/>
      <w:lvlText w:val="%2."/>
      <w:lvlJc w:val="left"/>
      <w:pPr>
        <w:ind w:left="72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2" w:tplc="6000646A">
      <w:start w:val="1"/>
      <w:numFmt w:val="lowerRoman"/>
      <w:lvlText w:val="%3"/>
      <w:lvlJc w:val="left"/>
      <w:pPr>
        <w:ind w:left="144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3" w:tplc="C43E28CE">
      <w:start w:val="1"/>
      <w:numFmt w:val="decimal"/>
      <w:lvlText w:val="%4"/>
      <w:lvlJc w:val="left"/>
      <w:pPr>
        <w:ind w:left="21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4" w:tplc="BA74AA8A">
      <w:start w:val="1"/>
      <w:numFmt w:val="lowerLetter"/>
      <w:lvlText w:val="%5"/>
      <w:lvlJc w:val="left"/>
      <w:pPr>
        <w:ind w:left="288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5" w:tplc="1C7C166C">
      <w:start w:val="1"/>
      <w:numFmt w:val="lowerRoman"/>
      <w:lvlText w:val="%6"/>
      <w:lvlJc w:val="left"/>
      <w:pPr>
        <w:ind w:left="360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6" w:tplc="92D695BC">
      <w:start w:val="1"/>
      <w:numFmt w:val="decimal"/>
      <w:lvlText w:val="%7"/>
      <w:lvlJc w:val="left"/>
      <w:pPr>
        <w:ind w:left="432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7" w:tplc="DC506910">
      <w:start w:val="1"/>
      <w:numFmt w:val="lowerLetter"/>
      <w:lvlText w:val="%8"/>
      <w:lvlJc w:val="left"/>
      <w:pPr>
        <w:ind w:left="504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8" w:tplc="228EE918">
      <w:start w:val="1"/>
      <w:numFmt w:val="lowerRoman"/>
      <w:lvlText w:val="%9"/>
      <w:lvlJc w:val="left"/>
      <w:pPr>
        <w:ind w:left="57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1"/>
    <w:rsid w:val="00071EB2"/>
    <w:rsid w:val="00140347"/>
    <w:rsid w:val="00261632"/>
    <w:rsid w:val="00286891"/>
    <w:rsid w:val="002C5D5D"/>
    <w:rsid w:val="00413EA7"/>
    <w:rsid w:val="004D60C4"/>
    <w:rsid w:val="004E2F1D"/>
    <w:rsid w:val="005232FF"/>
    <w:rsid w:val="0059514F"/>
    <w:rsid w:val="00680138"/>
    <w:rsid w:val="006A266C"/>
    <w:rsid w:val="00736CC8"/>
    <w:rsid w:val="007974EA"/>
    <w:rsid w:val="00832D20"/>
    <w:rsid w:val="009D3AE6"/>
    <w:rsid w:val="00A82104"/>
    <w:rsid w:val="00BE6B4A"/>
    <w:rsid w:val="00C87DC9"/>
    <w:rsid w:val="00CA0950"/>
    <w:rsid w:val="00EB183F"/>
    <w:rsid w:val="00FA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94ED"/>
  <w15:docId w15:val="{BAF339B1-7F64-4E84-90E0-2B216F45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60C4"/>
    <w:pPr>
      <w:spacing w:after="11" w:line="250" w:lineRule="auto"/>
      <w:ind w:left="597" w:hanging="370"/>
      <w:jc w:val="both"/>
    </w:pPr>
    <w:rPr>
      <w:rFonts w:ascii="Lato" w:eastAsia="Lato" w:hAnsi="Lato" w:cs="Lato"/>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1045</Words>
  <Characters>6270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Regulamin przetargu</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przetargu</dc:title>
  <dc:subject/>
  <dc:creator>ewelina</dc:creator>
  <cp:keywords/>
  <cp:lastModifiedBy>Leopold Bekier</cp:lastModifiedBy>
  <cp:revision>9</cp:revision>
  <dcterms:created xsi:type="dcterms:W3CDTF">2018-10-08T20:50:00Z</dcterms:created>
  <dcterms:modified xsi:type="dcterms:W3CDTF">2019-04-30T06:25:00Z</dcterms:modified>
</cp:coreProperties>
</file>